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681"/>
        <w:tblW w:w="13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559"/>
        <w:gridCol w:w="1276"/>
        <w:gridCol w:w="1909"/>
        <w:gridCol w:w="1918"/>
        <w:gridCol w:w="1701"/>
        <w:gridCol w:w="1559"/>
        <w:gridCol w:w="1134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南宫市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段芦头镇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综合行政执法队执法音像记录事项清单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执法类别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执法事项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记录环节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记录方式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记录开始时间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记录结束时间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存储期限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现场检查全过程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调查取证全过程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告知过程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口头陈述、申辩全过程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进入陈述申辩场所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记录执法相对人口头申辩过程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离开陈述申辩场所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听证会全过程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照相机、摄像机、监控设备等记录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听证会开始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听证会全程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听证会结束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保存证据全过程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进入登记保存场所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记录登记保存过程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登记保存结束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现场制作询问笔录及相关文书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制作文书开始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制作过程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当事人签字结束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文书送达全过程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直接送达、留置送达、公告送达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与执法相对人接触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记录能够反应相关事项或场景的全过程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方正小标宋简体" w:eastAsia="仿宋_GB2312" w:cs="方正小标宋简体"/>
          <w:bCs/>
          <w:snapToGrid w:val="0"/>
          <w:color w:val="000000" w:themeColor="text1"/>
          <w:spacing w:val="-14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仿宋_GB2312" w:hAnsi="方正小标宋简体" w:eastAsia="仿宋_GB2312" w:cs="方正小标宋简体"/>
          <w:bCs/>
          <w:snapToGrid w:val="0"/>
          <w:color w:val="000000" w:themeColor="text1"/>
          <w:spacing w:val="-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8A"/>
    <w:rsid w:val="000E7055"/>
    <w:rsid w:val="001156E8"/>
    <w:rsid w:val="00176D21"/>
    <w:rsid w:val="007D0A9F"/>
    <w:rsid w:val="0081428A"/>
    <w:rsid w:val="00840FBB"/>
    <w:rsid w:val="38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3"/>
    <w:link w:val="2"/>
    <w:semiHidden/>
    <w:uiPriority w:val="99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621</Characters>
  <Lines>5</Lines>
  <Paragraphs>1</Paragraphs>
  <TotalTime>3</TotalTime>
  <ScaleCrop>false</ScaleCrop>
  <LinksUpToDate>false</LinksUpToDate>
  <CharactersWithSpaces>728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2020-11-05T07:39:00Z</dcterms:created>
  <dc:creator>xing jianwei</dc:creator>
  <cp:lastModifiedBy>如翼行(WJWJ)</cp:lastModifiedBy>
  <dcterms:modified xsi:type="dcterms:W3CDTF">2020-11-13T10:51:07Z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