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rPr>
        <w:t>南宫市人民政府</w:t>
      </w:r>
    </w:p>
    <w:p>
      <w:pPr>
        <w:spacing w:line="600" w:lineRule="exact"/>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rPr>
        <w:t>关于公布南宫市集体建设用地和农用地</w:t>
      </w:r>
    </w:p>
    <w:p>
      <w:pPr>
        <w:spacing w:line="600" w:lineRule="exact"/>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rPr>
        <w:t>土地级别与基准地价的公告</w:t>
      </w:r>
    </w:p>
    <w:p>
      <w:pPr>
        <w:spacing w:line="600" w:lineRule="exact"/>
      </w:pPr>
    </w:p>
    <w:p>
      <w:pPr>
        <w:spacing w:line="600" w:lineRule="exact"/>
        <w:ind w:firstLine="640" w:firstLineChars="200"/>
        <w:rPr>
          <w:rFonts w:ascii="仿宋_GB2312" w:eastAsia="仿宋_GB2312"/>
          <w:color w:val="000000"/>
          <w:sz w:val="32"/>
          <w:szCs w:val="32"/>
          <w:shd w:val="clear" w:color="auto" w:fill="FFFFFF"/>
        </w:rPr>
      </w:pPr>
      <w:r>
        <w:rPr>
          <w:rFonts w:hint="eastAsia" w:ascii="仿宋_GB2312" w:hAnsi="仿宋_GB2312" w:eastAsia="仿宋_GB2312" w:cs="仿宋_GB2312"/>
          <w:sz w:val="32"/>
          <w:szCs w:val="32"/>
        </w:rPr>
        <w:t>为进一步规范土地市场秩序，加强土地资源管理，建立健全基准地价管理体系，按照《河北省自然资源厅关于部署开展</w:t>
      </w:r>
      <w:r>
        <w:rPr>
          <w:rFonts w:ascii="仿宋_GB2312" w:hAnsi="仿宋_GB2312" w:eastAsia="仿宋_GB2312" w:cs="仿宋_GB2312"/>
          <w:sz w:val="32"/>
          <w:szCs w:val="32"/>
        </w:rPr>
        <w:t>2019年度自然资源评价评估工作的通知》（冀自然资字〔2019〕80号）</w:t>
      </w:r>
      <w:r>
        <w:rPr>
          <w:rFonts w:hint="eastAsia" w:ascii="仿宋_GB2312" w:hAnsi="仿宋_GB2312" w:eastAsia="仿宋_GB2312" w:cs="仿宋_GB2312"/>
          <w:sz w:val="32"/>
          <w:szCs w:val="32"/>
        </w:rPr>
        <w:t>要求，我市开展了集体建设用地和农用地土地级别与基准地价制订工作，该项成果已经邢台市自然资源和规划局验收通过，现予公布，自公</w:t>
      </w:r>
      <w:r>
        <w:rPr>
          <w:rFonts w:hint="eastAsia" w:ascii="仿宋_GB2312" w:eastAsia="仿宋_GB2312"/>
          <w:color w:val="000000"/>
          <w:sz w:val="32"/>
          <w:szCs w:val="32"/>
          <w:shd w:val="clear" w:color="auto" w:fill="FFFFFF"/>
        </w:rPr>
        <w:t>布之日起实施。</w:t>
      </w:r>
    </w:p>
    <w:p>
      <w:pPr>
        <w:spacing w:line="600" w:lineRule="exact"/>
        <w:ind w:firstLine="640"/>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一、集体建设用地基准地价</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（一）评价评估范围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南宫市集体建设用地土地定级与基准地价评价范围为城镇基准地价评估范围之外的区域。</w:t>
      </w:r>
    </w:p>
    <w:p>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w:t>
      </w:r>
      <w:r>
        <w:rPr>
          <w:rFonts w:ascii="楷体_GB2312" w:hAnsi="仿宋_GB2312" w:eastAsia="楷体_GB2312" w:cs="仿宋_GB2312"/>
          <w:b/>
          <w:sz w:val="32"/>
          <w:szCs w:val="32"/>
        </w:rPr>
        <w:t>基准地价内涵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本次评估后的基准地价为南宫市城镇开发边界之外区域，采用综合定级的方法在以下设定条件下的集体建设用地使用权平均价格：</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1、评估基准日为2020年1月1日；</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2、开发程度为宗地外市政“五通一平”（通路、供水、</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t>通电、通讯、排水及场地平整）；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3、土地使用年限为各用途法定最高出让年限（商服40年、</w:t>
      </w:r>
      <w:r>
        <w:rPr>
          <w:rFonts w:hint="eastAsia" w:ascii="仿宋_GB2312" w:hAnsi="仿宋_GB2312" w:eastAsia="仿宋_GB2312" w:cs="仿宋_GB2312"/>
          <w:sz w:val="32"/>
          <w:szCs w:val="32"/>
        </w:rPr>
        <w:t>宅基地无年期限制</w:t>
      </w:r>
      <w:r>
        <w:rPr>
          <w:rFonts w:ascii="仿宋_GB2312" w:hAnsi="仿宋_GB2312" w:eastAsia="仿宋_GB2312" w:cs="仿宋_GB2312"/>
          <w:sz w:val="32"/>
          <w:szCs w:val="32"/>
        </w:rPr>
        <w:t>、工业50年）；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4、容积率为各用途平均容积率：商服</w:t>
      </w:r>
      <w:r>
        <w:rPr>
          <w:rFonts w:hint="eastAsia" w:ascii="仿宋_GB2312" w:hAnsi="仿宋_GB2312" w:eastAsia="仿宋_GB2312" w:cs="仿宋_GB2312"/>
          <w:sz w:val="32"/>
          <w:szCs w:val="32"/>
        </w:rPr>
        <w:t>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宅基地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0.8</w:t>
      </w:r>
      <w:r>
        <w:rPr>
          <w:rFonts w:ascii="仿宋_GB2312" w:hAnsi="仿宋_GB2312" w:eastAsia="仿宋_GB2312" w:cs="仿宋_GB2312"/>
          <w:sz w:val="32"/>
          <w:szCs w:val="32"/>
        </w:rPr>
        <w:t>；工业</w:t>
      </w:r>
      <w:r>
        <w:rPr>
          <w:rFonts w:hint="eastAsia" w:ascii="仿宋_GB2312" w:hAnsi="仿宋_GB2312" w:eastAsia="仿宋_GB2312" w:cs="仿宋_GB2312"/>
          <w:sz w:val="32"/>
          <w:szCs w:val="32"/>
        </w:rPr>
        <w:t>用地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w:t>
      </w:r>
    </w:p>
    <w:p>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（三）各级别范围（具体界至以土地级别图为准）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集体建设用地土地级别为综合定级，级别范围如下：</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一级地：</w:t>
      </w:r>
      <w:r>
        <w:rPr>
          <w:rFonts w:hint="eastAsia" w:ascii="仿宋_GB2312" w:hAnsi="仿宋_GB2312" w:eastAsia="仿宋_GB2312" w:cs="仿宋_GB2312"/>
          <w:sz w:val="32"/>
          <w:szCs w:val="32"/>
        </w:rPr>
        <w:t>主要分布在中心城区周边，北至308国道，南至324省道，西至106国道绕城连接线，东至308新国道，受到南宫市中心城区的辐射明显，城区扩张的过程中基础设施建设、公共服务项目投资带来的外溢效应提高了周边区域的整体环境条件水平。</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二级地：</w:t>
      </w:r>
      <w:r>
        <w:rPr>
          <w:rFonts w:hint="eastAsia" w:ascii="仿宋_GB2312" w:hAnsi="仿宋_GB2312" w:eastAsia="仿宋_GB2312" w:cs="仿宋_GB2312"/>
          <w:sz w:val="32"/>
          <w:szCs w:val="32"/>
        </w:rPr>
        <w:t>主要分布在中心城区周边四个街道办事处、经济开发区（西区）周边区域和大高村镇、明化镇、垂杨镇、紫冢镇、段芦头镇等镇区周边区域以及段芦头镇南部紧邻清河县城区域。该部分区域受益于城区、镇区和省级工业园区，商业和工业得以发展，但整体较紧邻城区部分一级地稍差。</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三级地：</w:t>
      </w:r>
      <w:r>
        <w:rPr>
          <w:rFonts w:hint="eastAsia" w:ascii="仿宋_GB2312" w:hAnsi="仿宋_GB2312" w:eastAsia="仿宋_GB2312" w:cs="仿宋_GB2312"/>
          <w:sz w:val="32"/>
          <w:szCs w:val="32"/>
        </w:rPr>
        <w:t>广泛分布在南宫市东部各乡镇，北胡街道办事处、南便乡和苏村镇也有分布。该部分区域距城区较远，距镇区和主干交通道路有一定距离，受人流量限制，商业、工业零散分布。</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四级地：</w:t>
      </w:r>
      <w:r>
        <w:rPr>
          <w:rFonts w:hint="eastAsia" w:ascii="仿宋_GB2312" w:hAnsi="仿宋_GB2312" w:eastAsia="仿宋_GB2312" w:cs="仿宋_GB2312"/>
          <w:sz w:val="32"/>
          <w:szCs w:val="32"/>
        </w:rPr>
        <w:t>主要分布在大村乡、苏村镇西部、南便乡南部和北胡街道办事处最北部，都是较为偏远的村庄，距离中心城区和镇区较远，基础设施较差，产业活力不足，经济发展不活跃。</w:t>
      </w:r>
    </w:p>
    <w:p>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（四）基准地价表</w:t>
      </w:r>
    </w:p>
    <w:p>
      <w:pPr>
        <w:spacing w:line="6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南宫市集体建设用地基准地价表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294"/>
        <w:gridCol w:w="1296"/>
        <w:gridCol w:w="1294"/>
        <w:gridCol w:w="1296"/>
        <w:gridCol w:w="12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pct"/>
            <w:vMerge w:val="restar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地类</w:t>
            </w:r>
          </w:p>
        </w:tc>
        <w:tc>
          <w:tcPr>
            <w:tcW w:w="1429" w:type="pct"/>
            <w:gridSpan w:val="2"/>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商服用地</w:t>
            </w:r>
          </w:p>
        </w:tc>
        <w:tc>
          <w:tcPr>
            <w:tcW w:w="1429" w:type="pct"/>
            <w:gridSpan w:val="2"/>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宅基地</w:t>
            </w:r>
          </w:p>
        </w:tc>
        <w:tc>
          <w:tcPr>
            <w:tcW w:w="1428" w:type="pct"/>
            <w:gridSpan w:val="2"/>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3" w:type="pct"/>
            <w:vMerge w:val="continue"/>
            <w:vAlign w:val="center"/>
          </w:tcPr>
          <w:p>
            <w:pPr>
              <w:widowControl/>
              <w:spacing w:line="600" w:lineRule="exact"/>
              <w:jc w:val="left"/>
              <w:rPr>
                <w:rFonts w:ascii="Times New Roman" w:hAnsi="Times New Roman" w:eastAsia="宋体" w:cs="Times New Roman"/>
                <w:color w:val="000000"/>
                <w:kern w:val="0"/>
                <w:sz w:val="24"/>
                <w:szCs w:val="24"/>
              </w:rPr>
            </w:pPr>
          </w:p>
        </w:tc>
        <w:tc>
          <w:tcPr>
            <w:tcW w:w="714" w:type="pct"/>
            <w:shd w:val="clear" w:color="auto" w:fill="auto"/>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元/平方米</w:t>
            </w:r>
          </w:p>
        </w:tc>
        <w:tc>
          <w:tcPr>
            <w:tcW w:w="715" w:type="pct"/>
            <w:shd w:val="clear" w:color="auto" w:fill="auto"/>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万元/亩</w:t>
            </w:r>
          </w:p>
        </w:tc>
        <w:tc>
          <w:tcPr>
            <w:tcW w:w="714" w:type="pct"/>
            <w:shd w:val="clear" w:color="auto" w:fill="auto"/>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元/平方米</w:t>
            </w:r>
          </w:p>
        </w:tc>
        <w:tc>
          <w:tcPr>
            <w:tcW w:w="715" w:type="pct"/>
            <w:shd w:val="clear" w:color="auto" w:fill="auto"/>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万元/亩</w:t>
            </w:r>
          </w:p>
        </w:tc>
        <w:tc>
          <w:tcPr>
            <w:tcW w:w="714" w:type="pct"/>
            <w:shd w:val="clear" w:color="auto" w:fill="auto"/>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元/平方米</w:t>
            </w:r>
          </w:p>
        </w:tc>
        <w:tc>
          <w:tcPr>
            <w:tcW w:w="714" w:type="pct"/>
            <w:shd w:val="clear" w:color="auto" w:fill="auto"/>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3"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Ⅰ级</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386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25.70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265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17.65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162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3"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Ⅱ级</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267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17.82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214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14.27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120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3"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Ⅲ级</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225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15.00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162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10.79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108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Ⅳ级</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152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10.15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103 </w:t>
            </w:r>
          </w:p>
        </w:tc>
        <w:tc>
          <w:tcPr>
            <w:tcW w:w="715"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6.86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96 </w:t>
            </w:r>
          </w:p>
        </w:tc>
        <w:tc>
          <w:tcPr>
            <w:tcW w:w="714" w:type="pct"/>
            <w:shd w:val="clear" w:color="auto" w:fill="auto"/>
            <w:noWrap/>
            <w:vAlign w:val="center"/>
          </w:tcPr>
          <w:p>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6.40 </w:t>
            </w:r>
          </w:p>
        </w:tc>
      </w:tr>
    </w:tbl>
    <w:p>
      <w:pPr>
        <w:numPr>
          <w:ilvl w:val="0"/>
          <w:numId w:val="1"/>
        </w:numPr>
        <w:spacing w:line="600" w:lineRule="exact"/>
        <w:ind w:firstLine="640"/>
        <w:rPr>
          <w:rFonts w:ascii="黑体" w:hAnsi="黑体" w:eastAsia="黑体"/>
          <w:color w:val="000000"/>
          <w:sz w:val="32"/>
          <w:szCs w:val="32"/>
          <w:shd w:val="clear" w:color="auto" w:fill="FFFFFF"/>
        </w:rPr>
      </w:pPr>
      <w:bookmarkStart w:id="1" w:name="_GoBack"/>
      <w:bookmarkEnd w:id="1"/>
      <w:r>
        <w:rPr>
          <w:rFonts w:hint="eastAsia" w:ascii="黑体" w:hAnsi="黑体" w:eastAsia="黑体"/>
          <w:color w:val="000000"/>
          <w:sz w:val="32"/>
          <w:szCs w:val="32"/>
          <w:shd w:val="clear" w:color="auto" w:fill="FFFFFF"/>
        </w:rPr>
        <w:t>农用地基准地价</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（一）评价评估范围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根据《农用地定级规程》（GB/T 28405-2012）和《农用地估价规程》（GB/T 28406-2012），本次工作的范围为南宫市全市的辖区范围，评价对象为全市范围内的现状耕地、园地和林地。</w:t>
      </w:r>
    </w:p>
    <w:p>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w:t>
      </w:r>
      <w:r>
        <w:rPr>
          <w:rFonts w:ascii="楷体_GB2312" w:hAnsi="仿宋_GB2312" w:eastAsia="楷体_GB2312" w:cs="仿宋_GB2312"/>
          <w:b/>
          <w:sz w:val="32"/>
          <w:szCs w:val="32"/>
        </w:rPr>
        <w:t xml:space="preserve"> 基准地价内涵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综合分析现有法律法规、政策文件规定，以及相关规范标准的要求，结合市域农用地利用情况，确定如下基准地价内涵:</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（1）耕地基准地价内涵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估价期日：2020年1月1日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权利年限：30年（集体）、50年（国有）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土地权利：承包经营权和经营权（集体）、使用权（国有）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用地类型：水浇地、旱地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耕作制度：冬小麦-夏玉米一年两熟制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农田基本设施状况：通路、通电、灌溉保证率75%、排水能力1天暴雨3天排出、地块规则、田块平整</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（2）园地基准地价内涵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估价期日：2020年1月1日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权利年限：30年（集体）、50年（国有）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土地权利：承包经营权和经营权（集体）、使用权（国有）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用地类型：果园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基准作物：梨树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农田基本设施状况：通路、通电、灌溉保证率75%、地块规则、田块平整</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（3）林地基准地价内涵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估价期日：2020年1月1日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权利年限：30年（集体）、50年（国有）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土地权利：承包经营权和经营权（集体）、使用权（国有）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用地类型：乔木林地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基准作物：杨树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农田基本设施状况：通路、地块规则、田块平整</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（三）各级别范围（具体界至以土地级别图为准）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一级地主要分布在城区周边以及南杜街道和北胡街道距离城区较近区域；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二级地、三级地除凤岗街道、南杜街道和北胡街道外，在其余各乡镇均有分布；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四级地主要分布在大村乡西北部、垂杨镇和段芦头镇南部，由于土地本身土壤偏砂，且距主要交通干线和城镇较远，因此级别较低。</w:t>
      </w:r>
    </w:p>
    <w:p>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（四）基准地价表</w:t>
      </w:r>
    </w:p>
    <w:p>
      <w:pPr>
        <w:spacing w:line="6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南宫市集体农用地基准地价表</w:t>
      </w:r>
    </w:p>
    <w:p>
      <w:pPr>
        <w:spacing w:line="600" w:lineRule="exact"/>
        <w:jc w:val="right"/>
        <w:rPr>
          <w:rFonts w:ascii="仿宋_GB2312" w:hAnsi="仿宋_GB2312" w:eastAsia="仿宋_GB2312" w:cs="仿宋_GB2312"/>
          <w:b/>
          <w:bCs/>
          <w:sz w:val="24"/>
          <w:szCs w:val="24"/>
        </w:rPr>
      </w:pPr>
      <w:bookmarkStart w:id="0" w:name="_Hlk62977748"/>
      <w:r>
        <w:rPr>
          <w:rFonts w:hint="eastAsia" w:ascii="仿宋_GB2312" w:hAnsi="仿宋_GB2312" w:eastAsia="仿宋_GB2312" w:cs="仿宋_GB2312"/>
          <w:b/>
          <w:bCs/>
          <w:sz w:val="24"/>
          <w:szCs w:val="24"/>
        </w:rPr>
        <w:t>单位：万元/亩</w:t>
      </w:r>
    </w:p>
    <w:tbl>
      <w:tblPr>
        <w:tblStyle w:val="8"/>
        <w:tblW w:w="5000" w:type="pct"/>
        <w:jc w:val="center"/>
        <w:tblLayout w:type="autofit"/>
        <w:tblCellMar>
          <w:top w:w="0" w:type="dxa"/>
          <w:left w:w="108" w:type="dxa"/>
          <w:bottom w:w="0" w:type="dxa"/>
          <w:right w:w="108" w:type="dxa"/>
        </w:tblCellMar>
      </w:tblPr>
      <w:tblGrid>
        <w:gridCol w:w="822"/>
        <w:gridCol w:w="1225"/>
        <w:gridCol w:w="2919"/>
        <w:gridCol w:w="1024"/>
        <w:gridCol w:w="1024"/>
        <w:gridCol w:w="1024"/>
        <w:gridCol w:w="1022"/>
      </w:tblGrid>
      <w:tr>
        <w:tblPrEx>
          <w:tblCellMar>
            <w:top w:w="0" w:type="dxa"/>
            <w:left w:w="108" w:type="dxa"/>
            <w:bottom w:w="0" w:type="dxa"/>
            <w:right w:w="108" w:type="dxa"/>
          </w:tblCellMar>
        </w:tblPrEx>
        <w:trPr>
          <w:trHeight w:val="270" w:hRule="atLeast"/>
          <w:jc w:val="center"/>
        </w:trPr>
        <w:tc>
          <w:tcPr>
            <w:tcW w:w="1130"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地类</w:t>
            </w:r>
          </w:p>
        </w:tc>
        <w:tc>
          <w:tcPr>
            <w:tcW w:w="1611"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价格类型</w:t>
            </w:r>
          </w:p>
        </w:tc>
        <w:tc>
          <w:tcPr>
            <w:tcW w:w="565"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Ⅰ级</w:t>
            </w:r>
          </w:p>
        </w:tc>
        <w:tc>
          <w:tcPr>
            <w:tcW w:w="565"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Ⅱ级</w:t>
            </w:r>
          </w:p>
        </w:tc>
        <w:tc>
          <w:tcPr>
            <w:tcW w:w="565"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Ⅲ级</w:t>
            </w:r>
          </w:p>
        </w:tc>
        <w:tc>
          <w:tcPr>
            <w:tcW w:w="565"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Ⅳ级</w:t>
            </w:r>
          </w:p>
        </w:tc>
      </w:tr>
      <w:tr>
        <w:tblPrEx>
          <w:tblCellMar>
            <w:top w:w="0" w:type="dxa"/>
            <w:left w:w="108" w:type="dxa"/>
            <w:bottom w:w="0" w:type="dxa"/>
            <w:right w:w="108" w:type="dxa"/>
          </w:tblCellMar>
        </w:tblPrEx>
        <w:trPr>
          <w:trHeight w:val="270" w:hRule="atLeast"/>
          <w:jc w:val="center"/>
        </w:trPr>
        <w:tc>
          <w:tcPr>
            <w:tcW w:w="45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耕地</w:t>
            </w:r>
          </w:p>
        </w:tc>
        <w:tc>
          <w:tcPr>
            <w:tcW w:w="676"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水浇地</w:t>
            </w: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承包经营权价格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2.46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2.13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1.91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1.73 </w:t>
            </w:r>
          </w:p>
        </w:tc>
      </w:tr>
      <w:tr>
        <w:tblPrEx>
          <w:tblCellMar>
            <w:top w:w="0" w:type="dxa"/>
            <w:left w:w="108" w:type="dxa"/>
            <w:bottom w:w="0" w:type="dxa"/>
            <w:right w:w="108" w:type="dxa"/>
          </w:tblCellMar>
        </w:tblPrEx>
        <w:trPr>
          <w:trHeight w:val="270" w:hRule="atLeast"/>
          <w:jc w:val="center"/>
        </w:trPr>
        <w:tc>
          <w:tcPr>
            <w:tcW w:w="454" w:type="pct"/>
            <w:vMerge w:val="continue"/>
            <w:tcBorders>
              <w:top w:val="nil"/>
              <w:left w:val="single" w:color="auto" w:sz="4" w:space="0"/>
              <w:bottom w:val="single" w:color="000000" w:sz="4" w:space="0"/>
              <w:right w:val="single" w:color="auto"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676" w:type="pct"/>
            <w:vMerge w:val="continue"/>
            <w:tcBorders>
              <w:top w:val="nil"/>
              <w:left w:val="single" w:color="auto" w:sz="4" w:space="0"/>
              <w:bottom w:val="single" w:color="000000" w:sz="4" w:space="0"/>
              <w:right w:val="single" w:color="auto"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1.32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1.09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0.96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0.87 </w:t>
            </w:r>
          </w:p>
        </w:tc>
      </w:tr>
      <w:tr>
        <w:tblPrEx>
          <w:tblCellMar>
            <w:top w:w="0" w:type="dxa"/>
            <w:left w:w="108" w:type="dxa"/>
            <w:bottom w:w="0" w:type="dxa"/>
            <w:right w:w="108" w:type="dxa"/>
          </w:tblCellMar>
        </w:tblPrEx>
        <w:trPr>
          <w:trHeight w:val="270" w:hRule="atLeast"/>
          <w:jc w:val="center"/>
        </w:trPr>
        <w:tc>
          <w:tcPr>
            <w:tcW w:w="454" w:type="pct"/>
            <w:vMerge w:val="continue"/>
            <w:tcBorders>
              <w:top w:val="nil"/>
              <w:left w:val="single" w:color="auto" w:sz="4" w:space="0"/>
              <w:bottom w:val="single" w:color="000000" w:sz="4" w:space="0"/>
              <w:right w:val="single" w:color="auto"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676"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旱地</w:t>
            </w: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承包经营权价格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2.12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1.81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1.55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1.36 </w:t>
            </w:r>
          </w:p>
        </w:tc>
      </w:tr>
      <w:tr>
        <w:tblPrEx>
          <w:tblCellMar>
            <w:top w:w="0" w:type="dxa"/>
            <w:left w:w="108" w:type="dxa"/>
            <w:bottom w:w="0" w:type="dxa"/>
            <w:right w:w="108" w:type="dxa"/>
          </w:tblCellMar>
        </w:tblPrEx>
        <w:trPr>
          <w:trHeight w:val="270" w:hRule="atLeast"/>
          <w:jc w:val="center"/>
        </w:trPr>
        <w:tc>
          <w:tcPr>
            <w:tcW w:w="454" w:type="pct"/>
            <w:vMerge w:val="continue"/>
            <w:tcBorders>
              <w:top w:val="nil"/>
              <w:left w:val="single" w:color="auto" w:sz="4" w:space="0"/>
              <w:bottom w:val="single" w:color="000000" w:sz="4" w:space="0"/>
              <w:right w:val="single" w:color="auto"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676" w:type="pct"/>
            <w:vMerge w:val="continue"/>
            <w:tcBorders>
              <w:top w:val="nil"/>
              <w:left w:val="single" w:color="auto" w:sz="4" w:space="0"/>
              <w:bottom w:val="single" w:color="000000" w:sz="4" w:space="0"/>
              <w:right w:val="single" w:color="auto"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1.08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0.93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0.81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0.68 </w:t>
            </w:r>
          </w:p>
        </w:tc>
      </w:tr>
      <w:tr>
        <w:tblPrEx>
          <w:tblCellMar>
            <w:top w:w="0" w:type="dxa"/>
            <w:left w:w="108" w:type="dxa"/>
            <w:bottom w:w="0" w:type="dxa"/>
            <w:right w:w="108" w:type="dxa"/>
          </w:tblCellMar>
        </w:tblPrEx>
        <w:trPr>
          <w:trHeight w:val="270" w:hRule="atLeast"/>
          <w:jc w:val="center"/>
        </w:trPr>
        <w:tc>
          <w:tcPr>
            <w:tcW w:w="1130" w:type="pct"/>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园地</w:t>
            </w: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承包经营权价格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3.57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2.96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2.39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1.80 </w:t>
            </w:r>
          </w:p>
        </w:tc>
      </w:tr>
      <w:tr>
        <w:tblPrEx>
          <w:tblCellMar>
            <w:top w:w="0" w:type="dxa"/>
            <w:left w:w="108" w:type="dxa"/>
            <w:bottom w:w="0" w:type="dxa"/>
            <w:right w:w="108" w:type="dxa"/>
          </w:tblCellMar>
        </w:tblPrEx>
        <w:trPr>
          <w:trHeight w:val="270" w:hRule="atLeast"/>
          <w:jc w:val="center"/>
        </w:trPr>
        <w:tc>
          <w:tcPr>
            <w:tcW w:w="1130" w:type="pct"/>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2.16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1.70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1.26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0.93 </w:t>
            </w:r>
          </w:p>
        </w:tc>
      </w:tr>
      <w:tr>
        <w:tblPrEx>
          <w:tblCellMar>
            <w:top w:w="0" w:type="dxa"/>
            <w:left w:w="108" w:type="dxa"/>
            <w:bottom w:w="0" w:type="dxa"/>
            <w:right w:w="108" w:type="dxa"/>
          </w:tblCellMar>
        </w:tblPrEx>
        <w:trPr>
          <w:trHeight w:val="270" w:hRule="atLeast"/>
          <w:jc w:val="center"/>
        </w:trPr>
        <w:tc>
          <w:tcPr>
            <w:tcW w:w="1130" w:type="pct"/>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林地</w:t>
            </w: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承包经营权价格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1.94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1.76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1.67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1.57 </w:t>
            </w:r>
          </w:p>
        </w:tc>
      </w:tr>
      <w:tr>
        <w:tblPrEx>
          <w:tblCellMar>
            <w:top w:w="0" w:type="dxa"/>
            <w:left w:w="108" w:type="dxa"/>
            <w:bottom w:w="0" w:type="dxa"/>
            <w:right w:w="108" w:type="dxa"/>
          </w:tblCellMar>
        </w:tblPrEx>
        <w:trPr>
          <w:trHeight w:val="270" w:hRule="atLeast"/>
          <w:jc w:val="center"/>
        </w:trPr>
        <w:tc>
          <w:tcPr>
            <w:tcW w:w="1130" w:type="pct"/>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1611"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经营权价格</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1.03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0.95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0.89 </w:t>
            </w:r>
          </w:p>
        </w:tc>
        <w:tc>
          <w:tcPr>
            <w:tcW w:w="565" w:type="pct"/>
            <w:tcBorders>
              <w:top w:val="nil"/>
              <w:left w:val="nil"/>
              <w:bottom w:val="single" w:color="auto" w:sz="4" w:space="0"/>
              <w:right w:val="single" w:color="auto" w:sz="4" w:space="0"/>
            </w:tcBorders>
            <w:shd w:val="clear" w:color="auto" w:fill="auto"/>
            <w:noWrap/>
            <w:vAlign w:val="bottom"/>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0.85 </w:t>
            </w:r>
          </w:p>
        </w:tc>
      </w:tr>
    </w:tbl>
    <w:p>
      <w:pPr>
        <w:spacing w:line="600" w:lineRule="exact"/>
        <w:jc w:val="right"/>
        <w:rPr>
          <w:rFonts w:ascii="仿宋_GB2312" w:hAnsi="仿宋_GB2312" w:eastAsia="仿宋_GB2312" w:cs="仿宋_GB2312"/>
          <w:b/>
          <w:bCs/>
          <w:sz w:val="24"/>
          <w:szCs w:val="24"/>
        </w:rPr>
      </w:pPr>
    </w:p>
    <w:bookmarkEnd w:id="0"/>
    <w:p>
      <w:pPr>
        <w:spacing w:line="6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南宫市国有农用地基准地价表</w:t>
      </w:r>
    </w:p>
    <w:p>
      <w:pPr>
        <w:spacing w:line="600" w:lineRule="exact"/>
        <w:jc w:val="righ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单位：万元/亩</w:t>
      </w:r>
    </w:p>
    <w:tbl>
      <w:tblPr>
        <w:tblStyle w:val="8"/>
        <w:tblW w:w="5000" w:type="pct"/>
        <w:tblInd w:w="0" w:type="dxa"/>
        <w:tblLayout w:type="autofit"/>
        <w:tblCellMar>
          <w:top w:w="0" w:type="dxa"/>
          <w:left w:w="108" w:type="dxa"/>
          <w:bottom w:w="0" w:type="dxa"/>
          <w:right w:w="108" w:type="dxa"/>
        </w:tblCellMar>
      </w:tblPr>
      <w:tblGrid>
        <w:gridCol w:w="1020"/>
        <w:gridCol w:w="1490"/>
        <w:gridCol w:w="1533"/>
        <w:gridCol w:w="1254"/>
        <w:gridCol w:w="1254"/>
        <w:gridCol w:w="1254"/>
        <w:gridCol w:w="1255"/>
      </w:tblGrid>
      <w:tr>
        <w:tblPrEx>
          <w:tblCellMar>
            <w:top w:w="0" w:type="dxa"/>
            <w:left w:w="108" w:type="dxa"/>
            <w:bottom w:w="0" w:type="dxa"/>
            <w:right w:w="108" w:type="dxa"/>
          </w:tblCellMar>
        </w:tblPrEx>
        <w:trPr>
          <w:trHeight w:val="270" w:hRule="atLeast"/>
        </w:trPr>
        <w:tc>
          <w:tcPr>
            <w:tcW w:w="1385"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地类</w:t>
            </w:r>
          </w:p>
        </w:tc>
        <w:tc>
          <w:tcPr>
            <w:tcW w:w="846"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价格类型</w:t>
            </w:r>
          </w:p>
        </w:tc>
        <w:tc>
          <w:tcPr>
            <w:tcW w:w="692"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Ⅰ级</w:t>
            </w:r>
          </w:p>
        </w:tc>
        <w:tc>
          <w:tcPr>
            <w:tcW w:w="692"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Ⅱ级</w:t>
            </w:r>
          </w:p>
        </w:tc>
        <w:tc>
          <w:tcPr>
            <w:tcW w:w="692"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Ⅲ级</w:t>
            </w:r>
          </w:p>
        </w:tc>
        <w:tc>
          <w:tcPr>
            <w:tcW w:w="692" w:type="pct"/>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Ⅳ级</w:t>
            </w:r>
          </w:p>
        </w:tc>
      </w:tr>
      <w:tr>
        <w:tblPrEx>
          <w:tblCellMar>
            <w:top w:w="0" w:type="dxa"/>
            <w:left w:w="108" w:type="dxa"/>
            <w:bottom w:w="0" w:type="dxa"/>
            <w:right w:w="108" w:type="dxa"/>
          </w:tblCellMar>
        </w:tblPrEx>
        <w:trPr>
          <w:trHeight w:val="270" w:hRule="atLeast"/>
        </w:trPr>
        <w:tc>
          <w:tcPr>
            <w:tcW w:w="56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耕地</w:t>
            </w:r>
          </w:p>
        </w:tc>
        <w:tc>
          <w:tcPr>
            <w:tcW w:w="82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水浇地</w:t>
            </w:r>
          </w:p>
        </w:tc>
        <w:tc>
          <w:tcPr>
            <w:tcW w:w="846"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使用权价格</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3.07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2.66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2.39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2.16 </w:t>
            </w:r>
          </w:p>
        </w:tc>
      </w:tr>
      <w:tr>
        <w:tblPrEx>
          <w:tblCellMar>
            <w:top w:w="0" w:type="dxa"/>
            <w:left w:w="108" w:type="dxa"/>
            <w:bottom w:w="0" w:type="dxa"/>
            <w:right w:w="108" w:type="dxa"/>
          </w:tblCellMar>
        </w:tblPrEx>
        <w:trPr>
          <w:trHeight w:val="270" w:hRule="atLeast"/>
        </w:trPr>
        <w:tc>
          <w:tcPr>
            <w:tcW w:w="563" w:type="pct"/>
            <w:vMerge w:val="continue"/>
            <w:tcBorders>
              <w:top w:val="nil"/>
              <w:left w:val="single" w:color="auto" w:sz="4" w:space="0"/>
              <w:bottom w:val="single" w:color="000000" w:sz="4" w:space="0"/>
              <w:right w:val="single" w:color="auto" w:sz="4" w:space="0"/>
            </w:tcBorders>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p>
        </w:tc>
        <w:tc>
          <w:tcPr>
            <w:tcW w:w="82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旱地</w:t>
            </w:r>
          </w:p>
        </w:tc>
        <w:tc>
          <w:tcPr>
            <w:tcW w:w="846"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使用权价格</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2.64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2.26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1.93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1.70 </w:t>
            </w:r>
          </w:p>
        </w:tc>
      </w:tr>
      <w:tr>
        <w:tblPrEx>
          <w:tblCellMar>
            <w:top w:w="0" w:type="dxa"/>
            <w:left w:w="108" w:type="dxa"/>
            <w:bottom w:w="0" w:type="dxa"/>
            <w:right w:w="108" w:type="dxa"/>
          </w:tblCellMar>
        </w:tblPrEx>
        <w:trPr>
          <w:trHeight w:val="270" w:hRule="atLeast"/>
        </w:trPr>
        <w:tc>
          <w:tcPr>
            <w:tcW w:w="1385"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园地</w:t>
            </w:r>
          </w:p>
        </w:tc>
        <w:tc>
          <w:tcPr>
            <w:tcW w:w="846"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使用权价格</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4.17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3.47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2.79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2.11 </w:t>
            </w:r>
          </w:p>
        </w:tc>
      </w:tr>
      <w:tr>
        <w:tblPrEx>
          <w:tblCellMar>
            <w:top w:w="0" w:type="dxa"/>
            <w:left w:w="108" w:type="dxa"/>
            <w:bottom w:w="0" w:type="dxa"/>
            <w:right w:w="108" w:type="dxa"/>
          </w:tblCellMar>
        </w:tblPrEx>
        <w:trPr>
          <w:trHeight w:val="270" w:hRule="atLeast"/>
        </w:trPr>
        <w:tc>
          <w:tcPr>
            <w:tcW w:w="1385"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林地</w:t>
            </w:r>
          </w:p>
        </w:tc>
        <w:tc>
          <w:tcPr>
            <w:tcW w:w="846"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使用权价格</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2.49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2.26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2.14 </w:t>
            </w:r>
          </w:p>
        </w:tc>
        <w:tc>
          <w:tcPr>
            <w:tcW w:w="692" w:type="pct"/>
            <w:tcBorders>
              <w:top w:val="nil"/>
              <w:left w:val="nil"/>
              <w:bottom w:val="single" w:color="auto" w:sz="4" w:space="0"/>
              <w:right w:val="single" w:color="auto" w:sz="4" w:space="0"/>
            </w:tcBorders>
            <w:shd w:val="clear" w:color="auto" w:fill="auto"/>
            <w:noWrap/>
            <w:vAlign w:val="center"/>
          </w:tcPr>
          <w:p>
            <w:pPr>
              <w:widowControl/>
              <w:spacing w:line="60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2.01 </w:t>
            </w:r>
          </w:p>
        </w:tc>
      </w:tr>
    </w:tbl>
    <w:p>
      <w:pPr>
        <w:spacing w:line="600" w:lineRule="exact"/>
        <w:rPr>
          <w:rFonts w:ascii="仿宋_GB2312" w:hAnsi="仿宋_GB2312" w:eastAsia="仿宋_GB2312" w:cs="仿宋_GB2312"/>
          <w:sz w:val="32"/>
          <w:szCs w:val="32"/>
        </w:rPr>
      </w:pPr>
    </w:p>
    <w:sectPr>
      <w:pgSz w:w="11906" w:h="16838"/>
      <w:pgMar w:top="2155" w:right="1531" w:bottom="1985"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52D26"/>
    <w:multiLevelType w:val="singleLevel"/>
    <w:tmpl w:val="E2552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58E7"/>
    <w:rsid w:val="00121FDF"/>
    <w:rsid w:val="001858E7"/>
    <w:rsid w:val="001A2373"/>
    <w:rsid w:val="001A3D95"/>
    <w:rsid w:val="0037360A"/>
    <w:rsid w:val="003D199D"/>
    <w:rsid w:val="00400980"/>
    <w:rsid w:val="00407B2F"/>
    <w:rsid w:val="005122FA"/>
    <w:rsid w:val="00543995"/>
    <w:rsid w:val="00655FB8"/>
    <w:rsid w:val="006A5A9A"/>
    <w:rsid w:val="00751692"/>
    <w:rsid w:val="00780BC3"/>
    <w:rsid w:val="00806835"/>
    <w:rsid w:val="008D12F8"/>
    <w:rsid w:val="008F0DC4"/>
    <w:rsid w:val="009246B0"/>
    <w:rsid w:val="00950086"/>
    <w:rsid w:val="00956AD0"/>
    <w:rsid w:val="00A14D1F"/>
    <w:rsid w:val="00AA4F68"/>
    <w:rsid w:val="00B97880"/>
    <w:rsid w:val="00BC14C9"/>
    <w:rsid w:val="00C2275D"/>
    <w:rsid w:val="00C565AC"/>
    <w:rsid w:val="00E73C1D"/>
    <w:rsid w:val="00FF0755"/>
    <w:rsid w:val="054032B5"/>
    <w:rsid w:val="1214664E"/>
    <w:rsid w:val="14951705"/>
    <w:rsid w:val="1C6D5546"/>
    <w:rsid w:val="1DAB2F46"/>
    <w:rsid w:val="24FF036B"/>
    <w:rsid w:val="2B554C7F"/>
    <w:rsid w:val="3C7C0F31"/>
    <w:rsid w:val="5BAD3889"/>
    <w:rsid w:val="6A1B2C38"/>
    <w:rsid w:val="6E421114"/>
    <w:rsid w:val="712967B7"/>
    <w:rsid w:val="7B87498B"/>
    <w:rsid w:val="7BDD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Plain Text"/>
    <w:basedOn w:val="1"/>
    <w:link w:val="14"/>
    <w:qFormat/>
    <w:uiPriority w:val="0"/>
    <w:rPr>
      <w:rFonts w:ascii="宋体" w:hAnsi="Courier New" w:eastAsia="宋体" w:cs="Times New Roman"/>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link w:val="3"/>
    <w:qFormat/>
    <w:uiPriority w:val="0"/>
    <w:rPr>
      <w:rFonts w:ascii="宋体" w:hAnsi="Courier New" w:eastAsia="宋体" w:cs="Times New Roman"/>
      <w:szCs w:val="20"/>
    </w:rPr>
  </w:style>
  <w:style w:type="character" w:customStyle="1" w:styleId="15">
    <w:name w:val="批注框文本 Char"/>
    <w:basedOn w:val="9"/>
    <w:link w:val="4"/>
    <w:semiHidden/>
    <w:qFormat/>
    <w:uiPriority w:val="99"/>
    <w:rPr>
      <w:rFonts w:asciiTheme="minorHAnsi" w:hAnsiTheme="minorHAnsi" w:eastAsiaTheme="minorEastAsia" w:cstheme="minorBidi"/>
      <w:kern w:val="2"/>
      <w:sz w:val="18"/>
      <w:szCs w:val="18"/>
    </w:rPr>
  </w:style>
  <w:style w:type="character" w:customStyle="1" w:styleId="16">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1844</Words>
  <Characters>577</Characters>
  <Lines>4</Lines>
  <Paragraphs>4</Paragraphs>
  <TotalTime>12</TotalTime>
  <ScaleCrop>false</ScaleCrop>
  <LinksUpToDate>false</LinksUpToDate>
  <CharactersWithSpaces>2417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2020-11-17T10:02:00Z</dcterms:created>
  <dc:creator>admin</dc:creator>
  <cp:lastModifiedBy>Administrator</cp:lastModifiedBy>
  <cp:lastPrinted>2021-04-16T06:06:00Z</cp:lastPrinted>
  <dcterms:modified xsi:type="dcterms:W3CDTF">2021-04-22T02:07:29Z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E492DC64B21A4D428112BCD0F771B014</vt:lpwstr>
  </property>
</Properties>
</file>