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宋体" w:hAnsi="宋体" w:eastAsia="宋体" w:cs="宋体"/>
          <w:b/>
          <w:bCs/>
          <w:i w:val="0"/>
          <w:iCs w:val="0"/>
          <w:caps w:val="0"/>
          <w:color w:val="666666"/>
          <w:spacing w:val="0"/>
          <w:sz w:val="36"/>
          <w:szCs w:val="36"/>
        </w:rPr>
      </w:pPr>
      <w:bookmarkStart w:id="0" w:name="_GoBack"/>
      <w:r>
        <w:rPr>
          <w:rFonts w:hint="eastAsia" w:ascii="宋体" w:hAnsi="宋体" w:eastAsia="宋体" w:cs="宋体"/>
          <w:b/>
          <w:bCs/>
          <w:i w:val="0"/>
          <w:iCs w:val="0"/>
          <w:caps w:val="0"/>
          <w:color w:val="666666"/>
          <w:spacing w:val="0"/>
          <w:kern w:val="0"/>
          <w:sz w:val="36"/>
          <w:szCs w:val="36"/>
          <w:bdr w:val="none" w:color="auto" w:sz="0" w:space="0"/>
          <w:shd w:val="clear" w:fill="FFFFFF"/>
          <w:lang w:val="en-US" w:eastAsia="zh-CN" w:bidi="ar"/>
        </w:rPr>
        <w:t>邢台市生态环境局南宫市分局行政执法评议考核制度</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一、为落实环境行政执法责任制，促进环境法律、法规、规章及其他规范性文件的有效实施，提高行政执法水平和执法人员的综合素质，根据国家、省、市、县的有关规定，结合本局工作实际，制定本制度。</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hanging="360"/>
        <w:textAlignment w:val="auto"/>
        <w:rPr>
          <w:rFonts w:hint="eastAsia" w:ascii="仿宋" w:hAnsi="仿宋" w:eastAsia="仿宋" w:cs="仿宋"/>
          <w:color w:val="666666"/>
          <w:sz w:val="32"/>
          <w:szCs w:val="32"/>
        </w:rPr>
      </w:pPr>
      <w:r>
        <w:rPr>
          <w:rFonts w:hint="eastAsia" w:ascii="仿宋" w:hAnsi="仿宋" w:eastAsia="仿宋" w:cs="仿宋"/>
          <w:i w:val="0"/>
          <w:iCs w:val="0"/>
          <w:caps w:val="0"/>
          <w:color w:val="666666"/>
          <w:spacing w:val="0"/>
          <w:sz w:val="32"/>
          <w:szCs w:val="32"/>
          <w:bdr w:val="none" w:color="auto" w:sz="0" w:space="0"/>
          <w:shd w:val="clear" w:fill="FAFAFA"/>
        </w:rPr>
        <w:t>本制度适用于全局所有科室，评议考核的对象为全局执法人员。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三、各执法人员要认真贯彻执行国家关于环境保护的法律法规和方针政策，按各科室岗位目标考核的要求，高标准、高质量地完成各项执法任务。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四、考核评议工作由行政执法责任考评小组负责，由局长任组长，分管法制工作的副局长任副组长，局办公室和法规科的工作人员为考评小组成员。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五、评议考核工作要坚持客观公正、民主公开、注重实绩的原则。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六、对行政执法人员的考评按综合素质、工作态度、实绩和具体行政行为合法适当四方面进行。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七、评议考核工作要结合半年和年终工作总结进行。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八、行政执法人员在考核年度内有下列情形之一的，考评为不合格：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1、被追究行政执法过错责任的；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2、被投诉并查实在履行执法职务行为时，有“吃、拿、卡、要”以及挟私报复等违纪行为的；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3、有滥用职权、玩忽职守、徇私舞弊等其他违法、违纪、违规行为的。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九、行政执法人员的评议考核要严格坚持标准，符合实际。被评为优秀等次的人数一般掌握在行政执法人员总数的10%以内。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十、对年度考评结论为优秀的股室、个人分别予以通报表扬或者奖励。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对年度考评结论为不合格的科室予以通报批评。个人年度考评结论为不合格，离岗培训学习一个月；学习考核不合格或者返岗后有发生本制度第八点所列情况的，调离行政执法岗位。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0" w:right="0"/>
        <w:textAlignment w:val="auto"/>
        <w:rPr>
          <w:rFonts w:hint="eastAsia" w:ascii="仿宋" w:hAnsi="仿宋" w:eastAsia="仿宋" w:cs="仿宋"/>
          <w:sz w:val="32"/>
          <w:szCs w:val="32"/>
        </w:rPr>
      </w:pPr>
      <w:r>
        <w:rPr>
          <w:rFonts w:hint="eastAsia" w:ascii="仿宋" w:hAnsi="仿宋" w:eastAsia="仿宋" w:cs="仿宋"/>
          <w:i w:val="0"/>
          <w:iCs w:val="0"/>
          <w:caps w:val="0"/>
          <w:color w:val="666666"/>
          <w:spacing w:val="0"/>
          <w:sz w:val="32"/>
          <w:szCs w:val="32"/>
          <w:bdr w:val="none" w:color="auto" w:sz="0" w:space="0"/>
          <w:shd w:val="clear" w:fill="FAFAFA"/>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42D41"/>
    <w:multiLevelType w:val="multilevel"/>
    <w:tmpl w:val="6DC42D4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A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2021-12-08T09:19:13Z</dcterms:created>
  <dc:creator>Administrator</dc:creator>
  <cp:lastModifiedBy>Administrator</cp:lastModifiedBy>
  <dcterms:modified xsi:type="dcterms:W3CDTF">2021-12-08T09:21:45Z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075BA4CBBB19446392C8A1CD1D504FB1</vt:lpwstr>
  </property>
</Properties>
</file>