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南宫市卫生健康局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关于《“十四五”医疗卫生服务体系规划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（2021-2025）（送审稿）》的说明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exact"/>
        <w:ind w:right="0"/>
        <w:textAlignment w:val="auto"/>
        <w:rPr>
          <w:rFonts w:hint="eastAsia" w:ascii="微软雅黑" w:hAnsi="微软雅黑" w:eastAsia="微软雅黑" w:cs="微软雅黑"/>
          <w:sz w:val="31"/>
          <w:szCs w:val="31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市政府：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现将《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“十四五”医疗卫生服务体系规划（2021-2025）</w:t>
      </w:r>
      <w:r>
        <w:rPr>
          <w:rFonts w:hint="eastAsia" w:ascii="仿宋" w:hAnsi="仿宋" w:eastAsia="仿宋" w:cs="仿宋"/>
          <w:sz w:val="32"/>
          <w:szCs w:val="32"/>
        </w:rPr>
        <w:t>（送审稿）》（以下简称《规划（送审稿）》）的编制情况汇报如下：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sz w:val="32"/>
          <w:szCs w:val="32"/>
        </w:rPr>
        <w:t>一、编制背景及过程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（一）编制背景。“十四五”时期（2021-2025年）是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南宫市</w:t>
      </w:r>
      <w:r>
        <w:rPr>
          <w:rFonts w:hint="eastAsia" w:ascii="仿宋" w:hAnsi="仿宋" w:eastAsia="仿宋" w:cs="仿宋"/>
          <w:sz w:val="32"/>
          <w:szCs w:val="32"/>
        </w:rPr>
        <w:t>构建整合型优质高效卫生健康服务体系的重要时期。构建整合型优质高效卫生健康服务体系是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南宫市</w:t>
      </w:r>
      <w:r>
        <w:rPr>
          <w:rFonts w:hint="eastAsia" w:ascii="仿宋" w:hAnsi="仿宋" w:eastAsia="仿宋" w:cs="仿宋"/>
          <w:sz w:val="32"/>
          <w:szCs w:val="32"/>
        </w:rPr>
        <w:t>落实新时代卫生与健康工作方针、调整卫生资源结构、增强发展动能、推进高质量发展的内在要求，是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南宫市</w:t>
      </w:r>
      <w:r>
        <w:rPr>
          <w:rFonts w:hint="eastAsia" w:ascii="仿宋" w:hAnsi="仿宋" w:eastAsia="仿宋" w:cs="仿宋"/>
          <w:sz w:val="32"/>
          <w:szCs w:val="32"/>
        </w:rPr>
        <w:t>抢抓推进疾病预防控制体系改革和公共卫生体系建设机遇、持续深化医改的重要任务，是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南宫市</w:t>
      </w:r>
      <w:r>
        <w:rPr>
          <w:rFonts w:hint="eastAsia" w:ascii="仿宋" w:hAnsi="仿宋" w:eastAsia="仿宋" w:cs="仿宋"/>
          <w:sz w:val="32"/>
          <w:szCs w:val="32"/>
        </w:rPr>
        <w:t>全面提升卫生健康服务能力和水平、满足人民日益增长的医疗卫生服务需求、建设健康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南宫</w:t>
      </w:r>
      <w:r>
        <w:rPr>
          <w:rFonts w:hint="eastAsia" w:ascii="仿宋" w:hAnsi="仿宋" w:eastAsia="仿宋" w:cs="仿宋"/>
          <w:sz w:val="32"/>
          <w:szCs w:val="32"/>
        </w:rPr>
        <w:t>的迫切需要。为进一步优化卫生资源配置，提高全方位全周期健康服务能力和重大疾病防控救治水平，根据《基本医疗卫生和健康促进法》，按照《邢台市“十四五”区域卫生规划》要求，结合我市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卫生事业发展</w:t>
      </w:r>
      <w:r>
        <w:rPr>
          <w:rFonts w:hint="eastAsia" w:ascii="仿宋" w:hAnsi="仿宋" w:eastAsia="仿宋" w:cs="仿宋"/>
          <w:sz w:val="32"/>
          <w:szCs w:val="32"/>
        </w:rPr>
        <w:t>实际，制定本规划，规划期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2021-2025年。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（二）编制过程。按照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省市卫健部门</w:t>
      </w:r>
      <w:r>
        <w:rPr>
          <w:rFonts w:hint="eastAsia" w:ascii="仿宋" w:hAnsi="仿宋" w:eastAsia="仿宋" w:cs="仿宋"/>
          <w:sz w:val="32"/>
          <w:szCs w:val="32"/>
        </w:rPr>
        <w:t>统一部署，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</w:t>
      </w:r>
      <w:r>
        <w:rPr>
          <w:rFonts w:hint="eastAsia" w:ascii="仿宋" w:hAnsi="仿宋" w:eastAsia="仿宋" w:cs="仿宋"/>
          <w:sz w:val="32"/>
          <w:szCs w:val="32"/>
        </w:rPr>
        <w:t>市卫生健康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局</w:t>
      </w:r>
      <w:r>
        <w:rPr>
          <w:rFonts w:hint="eastAsia" w:ascii="仿宋" w:hAnsi="仿宋" w:eastAsia="仿宋" w:cs="仿宋"/>
          <w:sz w:val="32"/>
          <w:szCs w:val="32"/>
        </w:rPr>
        <w:t>成立“十四五”规划编制工作专班深入基层调研，广泛听取意见，经前期调研、初稿起草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征求意见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修改完善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专家</w:t>
      </w:r>
      <w:r>
        <w:rPr>
          <w:rFonts w:hint="eastAsia" w:ascii="仿宋" w:hAnsi="仿宋" w:eastAsia="仿宋" w:cs="仿宋"/>
          <w:sz w:val="32"/>
          <w:szCs w:val="32"/>
        </w:rPr>
        <w:t>评审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等流程</w:t>
      </w:r>
      <w:r>
        <w:rPr>
          <w:rFonts w:hint="eastAsia" w:ascii="仿宋" w:hAnsi="仿宋" w:eastAsia="仿宋" w:cs="仿宋"/>
          <w:sz w:val="32"/>
          <w:szCs w:val="32"/>
        </w:rPr>
        <w:t>，形成了《规划（送审稿）》。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一是</w:t>
      </w:r>
      <w:r>
        <w:rPr>
          <w:rFonts w:hint="eastAsia" w:ascii="仿宋" w:hAnsi="仿宋" w:eastAsia="仿宋" w:cs="仿宋"/>
          <w:sz w:val="32"/>
          <w:szCs w:val="32"/>
        </w:rPr>
        <w:t>高度重视，稳步推进。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邢台</w:t>
      </w:r>
      <w:r>
        <w:rPr>
          <w:rFonts w:hint="eastAsia" w:ascii="仿宋" w:hAnsi="仿宋" w:eastAsia="仿宋" w:cs="仿宋"/>
          <w:sz w:val="32"/>
          <w:szCs w:val="32"/>
        </w:rPr>
        <w:t>市“十四五”规划工作会议召开后，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我市卫生健康局</w:t>
      </w:r>
      <w:r>
        <w:rPr>
          <w:rFonts w:hint="eastAsia" w:ascii="仿宋" w:hAnsi="仿宋" w:eastAsia="仿宋" w:cs="仿宋"/>
          <w:sz w:val="32"/>
          <w:szCs w:val="32"/>
        </w:rPr>
        <w:t>迅速召开专题会议，安排部署“十四五”卫生健康发展规划编制工作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明确了指导思想、工作任务和时间节点等。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二是</w:t>
      </w:r>
      <w:r>
        <w:rPr>
          <w:rFonts w:hint="eastAsia" w:ascii="仿宋" w:hAnsi="仿宋" w:eastAsia="仿宋" w:cs="仿宋"/>
          <w:sz w:val="32"/>
          <w:szCs w:val="32"/>
        </w:rPr>
        <w:t>准确定位，量身编制。围绕我市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卫生事业</w:t>
      </w:r>
      <w:r>
        <w:rPr>
          <w:rFonts w:hint="eastAsia" w:ascii="仿宋" w:hAnsi="仿宋" w:eastAsia="仿宋" w:cs="仿宋"/>
          <w:sz w:val="32"/>
          <w:szCs w:val="32"/>
        </w:rPr>
        <w:t>发展定位，准确把握新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形势下</w:t>
      </w:r>
      <w:r>
        <w:rPr>
          <w:rFonts w:hint="eastAsia" w:ascii="仿宋" w:hAnsi="仿宋" w:eastAsia="仿宋" w:cs="仿宋"/>
          <w:sz w:val="32"/>
          <w:szCs w:val="32"/>
        </w:rPr>
        <w:t>卫生健康工作方针，在指标体系设置上，对标高质量发展，对标满足人民美好生活需要，科学设置卫生健康发展指标，进一步清晰我市“十四五”时期的卫生健康事业发展方向、发展目标、发展原则、发展任务。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三是</w:t>
      </w:r>
      <w:r>
        <w:rPr>
          <w:rFonts w:hint="eastAsia" w:ascii="仿宋" w:hAnsi="仿宋" w:eastAsia="仿宋" w:cs="仿宋"/>
          <w:sz w:val="32"/>
          <w:szCs w:val="32"/>
        </w:rPr>
        <w:t>开门编制，集思广益。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在卫生健康局</w:t>
      </w:r>
      <w:r>
        <w:rPr>
          <w:rFonts w:hint="eastAsia" w:ascii="仿宋" w:hAnsi="仿宋" w:eastAsia="仿宋" w:cs="仿宋"/>
          <w:sz w:val="32"/>
          <w:szCs w:val="32"/>
        </w:rPr>
        <w:t>机关组建“十四五”规划编制专班，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规划科牵头，疾控科、医政科、基层科等业务科室配合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及时</w:t>
      </w:r>
      <w:r>
        <w:rPr>
          <w:rFonts w:hint="eastAsia" w:ascii="仿宋" w:hAnsi="仿宋" w:eastAsia="仿宋" w:cs="仿宋"/>
          <w:sz w:val="32"/>
          <w:szCs w:val="32"/>
        </w:rPr>
        <w:t>为规划编制提供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医疗</w:t>
      </w:r>
      <w:r>
        <w:rPr>
          <w:rFonts w:hint="eastAsia" w:ascii="仿宋" w:hAnsi="仿宋" w:eastAsia="仿宋" w:cs="仿宋"/>
          <w:sz w:val="32"/>
          <w:szCs w:val="32"/>
        </w:rPr>
        <w:t>数据支撑。坚持开门纳谏，通过开展召开专题座谈会、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向市直有关部门</w:t>
      </w:r>
      <w:r>
        <w:rPr>
          <w:rFonts w:hint="eastAsia" w:ascii="仿宋" w:hAnsi="仿宋" w:eastAsia="仿宋" w:cs="仿宋"/>
          <w:sz w:val="32"/>
          <w:szCs w:val="32"/>
        </w:rPr>
        <w:t>征集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意见</w:t>
      </w:r>
      <w:r>
        <w:rPr>
          <w:rFonts w:hint="eastAsia" w:ascii="仿宋" w:hAnsi="仿宋" w:eastAsia="仿宋" w:cs="仿宋"/>
          <w:sz w:val="32"/>
          <w:szCs w:val="32"/>
        </w:rPr>
        <w:t>等方式，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多渠道</w:t>
      </w:r>
      <w:r>
        <w:rPr>
          <w:rFonts w:hint="eastAsia" w:ascii="仿宋" w:hAnsi="仿宋" w:eastAsia="仿宋" w:cs="仿宋"/>
          <w:sz w:val="32"/>
          <w:szCs w:val="32"/>
        </w:rPr>
        <w:t>征集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建议</w:t>
      </w:r>
      <w:r>
        <w:rPr>
          <w:rFonts w:hint="eastAsia" w:ascii="仿宋" w:hAnsi="仿宋" w:eastAsia="仿宋" w:cs="仿宋"/>
          <w:sz w:val="32"/>
          <w:szCs w:val="32"/>
        </w:rPr>
        <w:t>意见，让规划编制工作更接地气。202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月形成了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《南宫市“十四五”医疗卫生服务体系规划（初稿）》，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月《南宫市“十四五”医疗卫生服务体系规划（初稿）》经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卫健局</w:t>
      </w:r>
      <w:r>
        <w:rPr>
          <w:rFonts w:hint="eastAsia" w:ascii="仿宋" w:hAnsi="仿宋" w:eastAsia="仿宋" w:cs="仿宋"/>
          <w:sz w:val="32"/>
          <w:szCs w:val="32"/>
        </w:rPr>
        <w:t>党组会议研究后，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报送省市卫健部门进行</w:t>
      </w:r>
      <w:r>
        <w:rPr>
          <w:rFonts w:hint="eastAsia" w:ascii="仿宋" w:hAnsi="仿宋" w:eastAsia="仿宋" w:cs="仿宋"/>
          <w:sz w:val="32"/>
          <w:szCs w:val="32"/>
        </w:rPr>
        <w:t>专家评审，并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于2022年10月</w:t>
      </w:r>
      <w:r>
        <w:rPr>
          <w:rFonts w:hint="eastAsia" w:ascii="仿宋" w:hAnsi="仿宋" w:eastAsia="仿宋" w:cs="仿宋"/>
          <w:sz w:val="32"/>
          <w:szCs w:val="32"/>
        </w:rPr>
        <w:t>通过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省市两级卫健部门专家</w:t>
      </w:r>
      <w:r>
        <w:rPr>
          <w:rFonts w:hint="eastAsia" w:ascii="仿宋" w:hAnsi="仿宋" w:eastAsia="仿宋" w:cs="仿宋"/>
          <w:sz w:val="32"/>
          <w:szCs w:val="32"/>
        </w:rPr>
        <w:t>评审；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2023年4月发布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南宫市</w:t>
      </w:r>
      <w:r>
        <w:rPr>
          <w:rFonts w:hint="eastAsia" w:ascii="仿宋" w:hAnsi="仿宋" w:eastAsia="仿宋" w:cs="仿宋"/>
          <w:sz w:val="32"/>
          <w:szCs w:val="32"/>
        </w:rPr>
        <w:t>“十四五”医疗卫生服务体系规划（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征求意见</w:t>
      </w:r>
      <w:r>
        <w:rPr>
          <w:rFonts w:hint="eastAsia" w:ascii="仿宋" w:hAnsi="仿宋" w:eastAsia="仿宋" w:cs="仿宋"/>
          <w:sz w:val="32"/>
          <w:szCs w:val="32"/>
        </w:rPr>
        <w:t>稿）》并征求了市发改委、市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财政</w:t>
      </w:r>
      <w:r>
        <w:rPr>
          <w:rFonts w:hint="eastAsia" w:ascii="仿宋" w:hAnsi="仿宋" w:eastAsia="仿宋" w:cs="仿宋"/>
          <w:sz w:val="32"/>
          <w:szCs w:val="32"/>
        </w:rPr>
        <w:t>局、市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编办</w:t>
      </w:r>
      <w:r>
        <w:rPr>
          <w:rFonts w:hint="eastAsia" w:ascii="仿宋" w:hAnsi="仿宋" w:eastAsia="仿宋" w:cs="仿宋"/>
          <w:sz w:val="32"/>
          <w:szCs w:val="32"/>
        </w:rPr>
        <w:t>、市自然资源和规划局等部门及全市卫生健康系统的意见和建议；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2023年5月</w:t>
      </w:r>
      <w:r>
        <w:rPr>
          <w:rFonts w:hint="eastAsia" w:ascii="仿宋" w:hAnsi="仿宋" w:eastAsia="仿宋" w:cs="仿宋"/>
          <w:sz w:val="32"/>
          <w:szCs w:val="32"/>
        </w:rPr>
        <w:t>市卫生健康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局</w:t>
      </w:r>
      <w:r>
        <w:rPr>
          <w:rFonts w:hint="eastAsia" w:ascii="仿宋" w:hAnsi="仿宋" w:eastAsia="仿宋" w:cs="仿宋"/>
          <w:sz w:val="32"/>
          <w:szCs w:val="32"/>
        </w:rPr>
        <w:t>根据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各方建议</w:t>
      </w:r>
      <w:r>
        <w:rPr>
          <w:rFonts w:hint="eastAsia" w:ascii="仿宋" w:hAnsi="仿宋" w:eastAsia="仿宋" w:cs="仿宋"/>
          <w:sz w:val="32"/>
          <w:szCs w:val="32"/>
        </w:rPr>
        <w:t>意见对规划进一步修完成完善，形成了《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南宫市</w:t>
      </w:r>
      <w:r>
        <w:rPr>
          <w:rFonts w:hint="eastAsia" w:ascii="仿宋" w:hAnsi="仿宋" w:eastAsia="仿宋" w:cs="仿宋"/>
          <w:sz w:val="32"/>
          <w:szCs w:val="32"/>
        </w:rPr>
        <w:t>“十四五”医疗卫生服务体系规划（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送审稿</w:t>
      </w:r>
      <w:r>
        <w:rPr>
          <w:rFonts w:hint="eastAsia" w:ascii="仿宋" w:hAnsi="仿宋" w:eastAsia="仿宋" w:cs="仿宋"/>
          <w:sz w:val="32"/>
          <w:szCs w:val="32"/>
        </w:rPr>
        <w:t>）》请示市政府印发。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二、主要内容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《规划（送审稿）》分为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部分，全文约两万字，主要内容包括：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第一部分（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规划背景</w:t>
      </w:r>
      <w:r>
        <w:rPr>
          <w:rFonts w:hint="eastAsia" w:ascii="仿宋" w:hAnsi="仿宋" w:eastAsia="仿宋" w:cs="仿宋"/>
          <w:sz w:val="32"/>
          <w:szCs w:val="32"/>
        </w:rPr>
        <w:t>），主要是简要介绍“十三五”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终期的人口和健康状况、卫生资源状况，以及“十四五”期间将面临的形势，</w:t>
      </w:r>
      <w:r>
        <w:rPr>
          <w:rFonts w:hint="eastAsia" w:ascii="仿宋" w:hAnsi="仿宋" w:eastAsia="仿宋" w:cs="仿宋"/>
          <w:sz w:val="32"/>
          <w:szCs w:val="32"/>
        </w:rPr>
        <w:t>重点介绍分析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十四五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期间</w:t>
      </w:r>
      <w:r>
        <w:rPr>
          <w:rFonts w:hint="eastAsia" w:ascii="仿宋" w:hAnsi="仿宋" w:eastAsia="仿宋" w:cs="仿宋"/>
          <w:sz w:val="32"/>
          <w:szCs w:val="32"/>
        </w:rPr>
        <w:t>疾病谱变化已成为人民群众健康的最大威胁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人口老龄化问题将成为未来五年工作的重任。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第二部分（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总体思路</w:t>
      </w:r>
      <w:r>
        <w:rPr>
          <w:rFonts w:hint="eastAsia" w:ascii="仿宋" w:hAnsi="仿宋" w:eastAsia="仿宋" w:cs="仿宋"/>
          <w:sz w:val="32"/>
          <w:szCs w:val="32"/>
        </w:rPr>
        <w:t>），主要是明确“十四五”医疗服务体系建设的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基本原则和规划</w:t>
      </w:r>
      <w:r>
        <w:rPr>
          <w:rFonts w:hint="eastAsia" w:ascii="仿宋" w:hAnsi="仿宋" w:eastAsia="仿宋" w:cs="仿宋"/>
          <w:sz w:val="32"/>
          <w:szCs w:val="32"/>
        </w:rPr>
        <w:t>目标。坚持健康优先，生命至上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坚持政府主导，社会参与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坚持预防为主，平急结合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坚持系统整合，上下协作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坚持改革创新，提高效能。在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规划</w:t>
      </w:r>
      <w:r>
        <w:rPr>
          <w:rFonts w:hint="eastAsia" w:ascii="仿宋" w:hAnsi="仿宋" w:eastAsia="仿宋" w:cs="仿宋"/>
          <w:sz w:val="32"/>
          <w:szCs w:val="32"/>
        </w:rPr>
        <w:t>目标上，《规划（送审稿）》到2025年，基本形成与我市国民经济和社会发展水平相适应，与我市功能定位相匹配，城乡统筹、功能互补、连续协同、富有韧性、运行高效的覆盖全方位全生命周期的医疗卫生服务体系。推动优质资源布局更加均衡，基本公共卫生服务更加均等，基本医疗服务更加均质，重大疫情防控救治和应急处置能力更加有效，中医药与西医药发展更加协调，“一老一小”为重点的全周期健康服务能力明显增强，广大人民群众就近享有公平可及、系统连续的高质量医疗卫生服务，人民群众健康水平和满意度持续提升。具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指标</w:t>
      </w:r>
      <w:r>
        <w:rPr>
          <w:rFonts w:hint="eastAsia" w:ascii="仿宋" w:hAnsi="仿宋" w:eastAsia="仿宋" w:cs="仿宋"/>
          <w:sz w:val="32"/>
          <w:szCs w:val="32"/>
        </w:rPr>
        <w:t>如下：</w:t>
      </w:r>
    </w:p>
    <w:p>
      <w:pPr>
        <w:spacing w:beforeLines="0" w:afterLines="0" w:line="360" w:lineRule="auto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</w:rPr>
        <w:t>南宫市 “十四五” 规划资源要素配置主要指标</w:t>
      </w:r>
    </w:p>
    <w:tbl>
      <w:tblPr>
        <w:tblStyle w:val="6"/>
        <w:tblW w:w="88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1"/>
        <w:gridCol w:w="571"/>
        <w:gridCol w:w="4635"/>
        <w:gridCol w:w="739"/>
        <w:gridCol w:w="886"/>
        <w:gridCol w:w="10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黑体" w:eastAsia="黑体" w:cs="Times New Roman"/>
                <w:sz w:val="21"/>
                <w:szCs w:val="21"/>
              </w:rPr>
              <w:t>序号</w:t>
            </w:r>
          </w:p>
        </w:tc>
        <w:tc>
          <w:tcPr>
            <w:tcW w:w="4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黑体" w:eastAsia="黑体" w:cs="Times New Roman"/>
                <w:sz w:val="21"/>
                <w:szCs w:val="21"/>
              </w:rPr>
              <w:t>主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黑体" w:eastAsia="黑体" w:cs="Times New Roman"/>
                <w:sz w:val="21"/>
                <w:szCs w:val="21"/>
              </w:rPr>
              <w:t>要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黑体" w:eastAsia="黑体" w:cs="Times New Roman"/>
                <w:sz w:val="21"/>
                <w:szCs w:val="21"/>
              </w:rPr>
              <w:t>指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黑体" w:eastAsia="黑体" w:cs="Times New Roman"/>
                <w:sz w:val="21"/>
                <w:szCs w:val="21"/>
              </w:rPr>
              <w:t>标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2020</w:t>
            </w:r>
            <w:r>
              <w:rPr>
                <w:rFonts w:hint="eastAsia" w:ascii="Times New Roman" w:hAnsi="黑体" w:eastAsia="黑体" w:cs="Times New Roman"/>
                <w:sz w:val="21"/>
                <w:szCs w:val="21"/>
              </w:rPr>
              <w:t>年</w:t>
            </w:r>
          </w:p>
        </w:tc>
        <w:tc>
          <w:tcPr>
            <w:tcW w:w="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2025</w:t>
            </w:r>
            <w:r>
              <w:rPr>
                <w:rFonts w:hint="eastAsia" w:ascii="Times New Roman" w:hAnsi="黑体" w:eastAsia="黑体" w:cs="Times New Roman"/>
                <w:sz w:val="21"/>
                <w:szCs w:val="21"/>
              </w:rPr>
              <w:t>年目标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黑体" w:eastAsia="黑体" w:cs="Times New Roman"/>
                <w:sz w:val="21"/>
                <w:szCs w:val="21"/>
              </w:rPr>
              <w:t>指标性质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01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宋体" w:cs="Times New Roman"/>
                <w:sz w:val="21"/>
                <w:szCs w:val="21"/>
              </w:rPr>
              <w:t>健康水平</w:t>
            </w:r>
          </w:p>
        </w:tc>
        <w:tc>
          <w:tcPr>
            <w:tcW w:w="5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宋体" w:cs="Times New Roman"/>
                <w:sz w:val="21"/>
                <w:szCs w:val="21"/>
              </w:rPr>
              <w:t>人均预期寿命（岁）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77.75</w:t>
            </w:r>
          </w:p>
        </w:tc>
        <w:tc>
          <w:tcPr>
            <w:tcW w:w="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宋体" w:cs="Times New Roman"/>
                <w:sz w:val="21"/>
                <w:szCs w:val="21"/>
              </w:rPr>
              <w:t>累计增长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hint="eastAsia" w:ascii="Times New Roman" w:hAnsi="宋体" w:cs="Times New Roman"/>
                <w:sz w:val="21"/>
                <w:szCs w:val="21"/>
              </w:rPr>
              <w:t>岁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宋体" w:cs="Times New Roman"/>
                <w:sz w:val="21"/>
                <w:szCs w:val="21"/>
              </w:rPr>
              <w:t>预期性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0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宋体" w:cs="Times New Roman"/>
                <w:sz w:val="21"/>
                <w:szCs w:val="21"/>
              </w:rPr>
              <w:t>健康预期寿命（岁）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--</w:t>
            </w:r>
          </w:p>
        </w:tc>
        <w:tc>
          <w:tcPr>
            <w:tcW w:w="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宋体" w:cs="Times New Roman"/>
                <w:sz w:val="21"/>
                <w:szCs w:val="21"/>
              </w:rPr>
              <w:t>同比例</w:t>
            </w:r>
          </w:p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宋体" w:cs="Times New Roman"/>
                <w:sz w:val="21"/>
                <w:szCs w:val="21"/>
              </w:rPr>
              <w:t>提高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宋体" w:cs="Times New Roman"/>
                <w:sz w:val="21"/>
                <w:szCs w:val="21"/>
              </w:rPr>
              <w:t>预期性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01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宋体" w:cs="Times New Roman"/>
                <w:sz w:val="21"/>
                <w:szCs w:val="21"/>
              </w:rPr>
              <w:t>公共卫生体系</w:t>
            </w:r>
          </w:p>
        </w:tc>
        <w:tc>
          <w:tcPr>
            <w:tcW w:w="5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宋体" w:cs="Times New Roman"/>
                <w:sz w:val="21"/>
                <w:szCs w:val="21"/>
              </w:rPr>
              <w:t>每千人口专业公共卫生机构人员数（人）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0.04</w:t>
            </w:r>
          </w:p>
        </w:tc>
        <w:tc>
          <w:tcPr>
            <w:tcW w:w="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0.83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宋体" w:cs="Times New Roman"/>
                <w:sz w:val="21"/>
                <w:szCs w:val="21"/>
              </w:rPr>
              <w:t>预期性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0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宋体" w:cs="Times New Roman"/>
                <w:sz w:val="21"/>
                <w:szCs w:val="21"/>
              </w:rPr>
              <w:t>市疾病预防控制机构基础设施达标率（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%</w:t>
            </w:r>
            <w:r>
              <w:rPr>
                <w:rFonts w:hint="eastAsia" w:ascii="Times New Roman" w:hAnsi="宋体" w:cs="Times New Roman"/>
                <w:sz w:val="21"/>
                <w:szCs w:val="21"/>
              </w:rPr>
              <w:t>）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宋体" w:cs="Times New Roman"/>
                <w:sz w:val="21"/>
                <w:szCs w:val="21"/>
              </w:rPr>
              <w:t>预期性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0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4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宋体" w:cs="Times New Roman"/>
                <w:sz w:val="21"/>
                <w:szCs w:val="21"/>
              </w:rPr>
              <w:t>二级以上综合医院设置感染性疾病科的比例（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%</w:t>
            </w:r>
            <w:r>
              <w:rPr>
                <w:rFonts w:hint="eastAsia" w:ascii="Times New Roman" w:hAnsi="宋体" w:cs="Times New Roman"/>
                <w:sz w:val="21"/>
                <w:szCs w:val="21"/>
              </w:rPr>
              <w:t>）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宋体" w:cs="Times New Roman"/>
                <w:sz w:val="21"/>
                <w:szCs w:val="21"/>
              </w:rPr>
              <w:t>预期性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0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4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宋体" w:cs="Times New Roman"/>
                <w:sz w:val="21"/>
                <w:szCs w:val="21"/>
              </w:rPr>
              <w:t>乡镇卫生院和社区卫生服务中心设置发热筛查门诊（发热诊室）的比例（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%</w:t>
            </w:r>
            <w:r>
              <w:rPr>
                <w:rFonts w:hint="eastAsia" w:ascii="Times New Roman" w:hAnsi="宋体" w:cs="Times New Roman"/>
                <w:sz w:val="21"/>
                <w:szCs w:val="21"/>
              </w:rPr>
              <w:t>）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宋体" w:cs="Times New Roman"/>
                <w:sz w:val="21"/>
                <w:szCs w:val="21"/>
              </w:rPr>
              <w:t>预期性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0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4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宋体" w:cs="Times New Roman"/>
                <w:sz w:val="21"/>
                <w:szCs w:val="21"/>
              </w:rPr>
              <w:t>每万人口重症床位数（张）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0.08</w:t>
            </w:r>
          </w:p>
        </w:tc>
        <w:tc>
          <w:tcPr>
            <w:tcW w:w="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0.60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宋体" w:cs="Times New Roman"/>
                <w:sz w:val="21"/>
                <w:szCs w:val="21"/>
              </w:rPr>
              <w:t>预期性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01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宋体" w:cs="Times New Roman"/>
                <w:sz w:val="21"/>
                <w:szCs w:val="21"/>
              </w:rPr>
              <w:t>高质量</w:t>
            </w:r>
          </w:p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宋体" w:cs="Times New Roman"/>
                <w:sz w:val="21"/>
                <w:szCs w:val="21"/>
              </w:rPr>
              <w:t>医疗服</w:t>
            </w:r>
          </w:p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宋体" w:cs="Times New Roman"/>
                <w:sz w:val="21"/>
                <w:szCs w:val="21"/>
              </w:rPr>
              <w:t>务体系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4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宋体" w:cs="Times New Roman"/>
                <w:sz w:val="21"/>
                <w:szCs w:val="21"/>
              </w:rPr>
              <w:t>每千人口医疗卫生机构床位数（张）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3.71</w:t>
            </w:r>
          </w:p>
        </w:tc>
        <w:tc>
          <w:tcPr>
            <w:tcW w:w="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5.90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宋体" w:cs="Times New Roman"/>
                <w:sz w:val="21"/>
                <w:szCs w:val="21"/>
              </w:rPr>
              <w:t>预期性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0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4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宋体" w:cs="Times New Roman"/>
                <w:sz w:val="21"/>
                <w:szCs w:val="21"/>
              </w:rPr>
              <w:t>每千人口执业（助理）医师数（人）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2.02</w:t>
            </w:r>
          </w:p>
        </w:tc>
        <w:tc>
          <w:tcPr>
            <w:tcW w:w="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2.66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宋体" w:cs="Times New Roman"/>
                <w:sz w:val="21"/>
                <w:szCs w:val="21"/>
              </w:rPr>
              <w:t>预期性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0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4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宋体" w:cs="Times New Roman"/>
                <w:sz w:val="21"/>
                <w:szCs w:val="21"/>
              </w:rPr>
              <w:t>每千人口注册护士数（人）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1.08</w:t>
            </w:r>
          </w:p>
        </w:tc>
        <w:tc>
          <w:tcPr>
            <w:tcW w:w="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2.91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宋体" w:cs="Times New Roman"/>
                <w:sz w:val="21"/>
                <w:szCs w:val="21"/>
              </w:rPr>
              <w:t>预期性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0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4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宋体" w:cs="Times New Roman"/>
                <w:sz w:val="21"/>
                <w:szCs w:val="21"/>
              </w:rPr>
              <w:t>每千人口药师（士）数（人）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0.10</w:t>
            </w:r>
          </w:p>
        </w:tc>
        <w:tc>
          <w:tcPr>
            <w:tcW w:w="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0.54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宋体" w:cs="Times New Roman"/>
                <w:sz w:val="21"/>
                <w:szCs w:val="21"/>
              </w:rPr>
              <w:t>预期性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0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4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宋体" w:cs="Times New Roman"/>
                <w:sz w:val="21"/>
                <w:szCs w:val="21"/>
              </w:rPr>
              <w:t>每万人口全科医生数（人）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2.40</w:t>
            </w:r>
          </w:p>
        </w:tc>
        <w:tc>
          <w:tcPr>
            <w:tcW w:w="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3.93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宋体" w:cs="Times New Roman"/>
                <w:sz w:val="21"/>
                <w:szCs w:val="21"/>
              </w:rPr>
              <w:t>约束性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0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4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宋体" w:cs="Times New Roman"/>
                <w:sz w:val="21"/>
                <w:szCs w:val="21"/>
              </w:rPr>
              <w:t>医护比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1:0.53</w:t>
            </w:r>
          </w:p>
        </w:tc>
        <w:tc>
          <w:tcPr>
            <w:tcW w:w="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1:1.09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宋体" w:cs="Times New Roman"/>
                <w:sz w:val="21"/>
                <w:szCs w:val="21"/>
              </w:rPr>
              <w:t>预期性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0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4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宋体" w:cs="Times New Roman"/>
                <w:sz w:val="21"/>
                <w:szCs w:val="21"/>
              </w:rPr>
              <w:t>床人比（卫生人员）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1:0.97</w:t>
            </w:r>
          </w:p>
        </w:tc>
        <w:tc>
          <w:tcPr>
            <w:tcW w:w="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1:1.60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宋体" w:cs="Times New Roman"/>
                <w:sz w:val="21"/>
                <w:szCs w:val="21"/>
              </w:rPr>
              <w:t>预期性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01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宋体" w:cs="Times New Roman"/>
                <w:sz w:val="21"/>
                <w:szCs w:val="21"/>
              </w:rPr>
              <w:t>中医药</w:t>
            </w:r>
          </w:p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宋体" w:cs="Times New Roman"/>
                <w:sz w:val="21"/>
                <w:szCs w:val="21"/>
              </w:rPr>
              <w:t>服务</w:t>
            </w:r>
          </w:p>
        </w:tc>
        <w:tc>
          <w:tcPr>
            <w:tcW w:w="5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4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宋体" w:cs="Times New Roman"/>
                <w:sz w:val="21"/>
                <w:szCs w:val="21"/>
              </w:rPr>
              <w:t>每千人口中医类别执业（助理）医师数（人）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0.32</w:t>
            </w:r>
          </w:p>
        </w:tc>
        <w:tc>
          <w:tcPr>
            <w:tcW w:w="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0.62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宋体" w:cs="Times New Roman"/>
                <w:sz w:val="21"/>
                <w:szCs w:val="21"/>
              </w:rPr>
              <w:t>预期性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0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4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宋体" w:cs="Times New Roman"/>
                <w:sz w:val="21"/>
                <w:szCs w:val="21"/>
              </w:rPr>
              <w:t>每千人口公立中医类医院床位数（张）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0.30</w:t>
            </w:r>
          </w:p>
        </w:tc>
        <w:tc>
          <w:tcPr>
            <w:tcW w:w="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0.85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宋体" w:cs="Times New Roman"/>
                <w:sz w:val="21"/>
                <w:szCs w:val="21"/>
              </w:rPr>
              <w:t>预期性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0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4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宋体" w:cs="Times New Roman"/>
                <w:sz w:val="21"/>
                <w:szCs w:val="21"/>
              </w:rPr>
              <w:t>设置国医堂的社区卫生服务中心和乡镇卫生院比例（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%</w:t>
            </w:r>
            <w:r>
              <w:rPr>
                <w:rFonts w:hint="eastAsia" w:ascii="Times New Roman" w:hAnsi="宋体" w:cs="Times New Roman"/>
                <w:sz w:val="21"/>
                <w:szCs w:val="21"/>
              </w:rPr>
              <w:t>）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宋体" w:cs="Times New Roman"/>
                <w:sz w:val="21"/>
                <w:szCs w:val="21"/>
              </w:rPr>
              <w:t>预期性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011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宋体" w:cs="Times New Roman"/>
                <w:sz w:val="21"/>
                <w:szCs w:val="21"/>
              </w:rPr>
              <w:t>重点人群健康服务补短板</w:t>
            </w:r>
          </w:p>
        </w:tc>
        <w:tc>
          <w:tcPr>
            <w:tcW w:w="57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46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宋体" w:cs="Times New Roman"/>
                <w:sz w:val="21"/>
                <w:szCs w:val="21"/>
              </w:rPr>
              <w:t>每千人口拥有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hint="eastAsia" w:ascii="Times New Roman" w:hAnsi="宋体" w:cs="Times New Roman"/>
                <w:sz w:val="21"/>
                <w:szCs w:val="21"/>
              </w:rPr>
              <w:t>岁以下婴幼儿托位数（个）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2.03</w:t>
            </w:r>
          </w:p>
        </w:tc>
        <w:tc>
          <w:tcPr>
            <w:tcW w:w="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4.50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宋体" w:cs="Times New Roman"/>
                <w:sz w:val="21"/>
                <w:szCs w:val="21"/>
              </w:rPr>
              <w:t>预期性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011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4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宋体" w:cs="Times New Roman"/>
                <w:sz w:val="21"/>
                <w:szCs w:val="21"/>
              </w:rPr>
              <w:t>二级及以上综合性医院设置老年医学科的比例（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%</w:t>
            </w:r>
            <w:r>
              <w:rPr>
                <w:rFonts w:hint="eastAsia" w:ascii="Times New Roman" w:hAnsi="宋体" w:cs="Times New Roman"/>
                <w:sz w:val="21"/>
                <w:szCs w:val="21"/>
              </w:rPr>
              <w:t>）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宋体" w:cs="Times New Roman"/>
                <w:sz w:val="21"/>
                <w:szCs w:val="21"/>
              </w:rPr>
              <w:t>预期性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第三部分（卫生资源总体布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局），主要是介绍体系架构、机构设置、资源配置。重点分析“十四五”期间，本着“增加总量，优化存量，调整结构，提高效率”的原则，以公共卫生风险防范要求和群众健康需求为导向，统筹“平时”服务和“战时”应急双重需要，急性和非急性疾病防治并重，着眼全市卫生资源总量少、结构不合理、布局不均衡实际，依照《河北省“十四五”医疗卫生服务体系规划》和《邢台市“十四五”区域卫生规划（2021-2025年）》，合理规划、配置、布局全市床位、人员、设备、技术、信息与数据等卫生健康资源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第四部分（推动卫生健康服务能力建设），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主要是分析“十四五”期间，我市</w:t>
      </w:r>
      <w:r>
        <w:rPr>
          <w:rFonts w:hint="eastAsia" w:ascii="仿宋" w:hAnsi="仿宋" w:eastAsia="仿宋" w:cs="仿宋"/>
          <w:sz w:val="32"/>
          <w:szCs w:val="32"/>
        </w:rPr>
        <w:t>以医院、基层医疗卫生机构和专业公共卫生机构为主体，整合资源，优化功能，构建以健康为中心，贯穿预防、治疗、康复全过程，功能互补、连续协同，覆盖全方位全生命周期的整合型医疗卫生服务体系。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部分（创新整合协作机制）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主要是分析“十四五”期间</w:t>
      </w:r>
      <w:r>
        <w:rPr>
          <w:rFonts w:hint="eastAsia" w:ascii="仿宋" w:hAnsi="仿宋" w:eastAsia="仿宋" w:cs="仿宋"/>
          <w:sz w:val="32"/>
          <w:szCs w:val="32"/>
        </w:rPr>
        <w:t>围绕平急结合、医防融合、上下联动、多学科联合、医养康护结合、中西医互补，建立目标明确的分工协作机制，实现服务模式从分散割裂转变为系统连续，提供以健康为中心的整合型服务，推动形成分级诊疗、有序就医、全程服务新格局，全方位全周期保障群众健康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部分（发展保障），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主要是介绍政策保障和规划实施。在政策保障方面需建立维护公益性的财政投入机制，</w:t>
      </w:r>
      <w:r>
        <w:rPr>
          <w:rFonts w:hint="eastAsia" w:ascii="仿宋" w:hAnsi="仿宋" w:eastAsia="仿宋" w:cs="仿宋"/>
          <w:sz w:val="32"/>
          <w:szCs w:val="32"/>
        </w:rPr>
        <w:t>建立医务人员中长期激励机制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，深化医疗服务价格和支付方式改革，</w:t>
      </w:r>
      <w:r>
        <w:rPr>
          <w:rFonts w:hint="eastAsia" w:ascii="仿宋" w:hAnsi="仿宋" w:eastAsia="仿宋" w:cs="仿宋"/>
          <w:sz w:val="32"/>
          <w:szCs w:val="32"/>
        </w:rPr>
        <w:t>进一步健全完善运行管理机制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，完善医疗卫生综合监管机制；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在规划实施方面需加强组织领导，严格规划实施，强化部门协调，加强监督考评。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三、工作建议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建议《规划（送审稿）》经市政府常务会审议通过后，以市政府名义印发。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2023年5月12日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zYWUzNzY4ZmEwZTQwMjgzNjQzM2EyMmNlNzhiZWMifQ=="/>
  </w:docVars>
  <w:rsids>
    <w:rsidRoot w:val="00172A27"/>
    <w:rsid w:val="038720C2"/>
    <w:rsid w:val="07D7113E"/>
    <w:rsid w:val="0E8D770C"/>
    <w:rsid w:val="1C7D1E5D"/>
    <w:rsid w:val="1EFF1DF0"/>
    <w:rsid w:val="23DC390D"/>
    <w:rsid w:val="2503311B"/>
    <w:rsid w:val="26D65D76"/>
    <w:rsid w:val="2A6B7798"/>
    <w:rsid w:val="2CC80ED2"/>
    <w:rsid w:val="2DF06932"/>
    <w:rsid w:val="3A1A0893"/>
    <w:rsid w:val="3D2C72D6"/>
    <w:rsid w:val="48645AFB"/>
    <w:rsid w:val="48EA34B8"/>
    <w:rsid w:val="4E660A06"/>
    <w:rsid w:val="554E3DBB"/>
    <w:rsid w:val="59BD150F"/>
    <w:rsid w:val="5D041203"/>
    <w:rsid w:val="5FFB78BD"/>
    <w:rsid w:val="61F448CE"/>
    <w:rsid w:val="63BF7C32"/>
    <w:rsid w:val="63EB0A27"/>
    <w:rsid w:val="65F53DDF"/>
    <w:rsid w:val="66BA4928"/>
    <w:rsid w:val="67F85E08"/>
    <w:rsid w:val="68093B71"/>
    <w:rsid w:val="737427E7"/>
    <w:rsid w:val="74122000"/>
    <w:rsid w:val="741961BB"/>
    <w:rsid w:val="76370D1A"/>
    <w:rsid w:val="7A9550DC"/>
    <w:rsid w:val="7AEE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beforeLines="0" w:after="0" w:afterLines="0"/>
      <w:ind w:left="0" w:leftChars="0" w:firstLine="420" w:firstLineChars="200"/>
    </w:pPr>
    <w:rPr>
      <w:rFonts w:hint="eastAsia" w:ascii="仿宋_GB2312" w:hAnsi="仿宋_GB2312" w:eastAsia="仿宋_GB2312"/>
      <w:sz w:val="32"/>
      <w:szCs w:val="32"/>
    </w:rPr>
  </w:style>
  <w:style w:type="paragraph" w:styleId="3">
    <w:name w:val="Body Text Indent"/>
    <w:basedOn w:val="1"/>
    <w:next w:val="1"/>
    <w:unhideWhenUsed/>
    <w:qFormat/>
    <w:uiPriority w:val="0"/>
    <w:pPr>
      <w:spacing w:before="100" w:beforeLines="0" w:beforeAutospacing="1" w:after="120" w:afterLines="0"/>
      <w:ind w:left="420" w:leftChars="200"/>
    </w:pPr>
    <w:rPr>
      <w:rFonts w:hint="default"/>
      <w:sz w:val="21"/>
      <w:szCs w:val="21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21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2787</Words>
  <Characters>2955</Characters>
  <Lines>0</Lines>
  <Paragraphs>0</Paragraphs>
  <TotalTime>25</TotalTime>
  <ScaleCrop>false</ScaleCrop>
  <LinksUpToDate>false</LinksUpToDate>
  <CharactersWithSpaces>2988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2023-05-11T09:14:00Z</dcterms:created>
  <dc:creator>A</dc:creator>
  <cp:lastModifiedBy>A</cp:lastModifiedBy>
  <cp:lastPrinted>2023-05-12T06:47:00Z</cp:lastPrinted>
  <dcterms:modified xsi:type="dcterms:W3CDTF">2023-07-27T08:03:43Z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EAE00E9CEEC34FA18A0250C35F61725D_12</vt:lpwstr>
  </property>
</Properties>
</file>