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28"/>
          <w:szCs w:val="28"/>
        </w:rPr>
      </w:pPr>
      <w:bookmarkStart w:id="0" w:name="_GoBack"/>
      <w:r>
        <w:rPr>
          <w:rFonts w:hint="eastAsia" w:ascii="微软雅黑" w:hAnsi="微软雅黑" w:eastAsia="微软雅黑" w:cs="微软雅黑"/>
          <w:b/>
          <w:bCs/>
          <w:i w:val="0"/>
          <w:iCs w:val="0"/>
          <w:caps w:val="0"/>
          <w:color w:val="333333"/>
          <w:spacing w:val="0"/>
          <w:sz w:val="32"/>
          <w:szCs w:val="32"/>
          <w:bdr w:val="none" w:color="auto" w:sz="0" w:space="0"/>
          <w:shd w:val="clear" w:fill="FFFFFF"/>
        </w:rPr>
        <w:t>关于金融机构小微企业贷款利息收入免征增值税政策的公告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现将支持小微企业、个体工商户融资有关税收政策公告如下：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一、对金融机构向小型企业、微型企业和个体工商户发放小额贷款取得的利息收入，免征增值税。金融机构可以选择以下两种方法之一适用免税：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金融机构可按会计年度在以上两种方法之间选定其一作为该年的免税适用方法，一经选定，该会计年度内不得变更。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营业收入（年）=企业实际存续期间营业收入/企业实际存续月数×12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四、本公告所称小额贷款，是指单户授信小于1000万元（含本数）的小型企业、微型企业或个体工商户贷款；没有授信额度的，是指单户贷款合同金额且贷款余额在1000万元（含本数）以下的贷款。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五、金融机构应将相关免税证明材料留存备查，单独核算符合免税条件的小额贷款利息收入，按现行规定向主管税务机构办理纳税申报；未单独核算的，不得免征增值税。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金融机构应依法依规享受增值税优惠政策，一经发现存在虚报或造假骗取本项税收优惠情形的，停止享受本公告有关增值税优惠政策。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金融机构应持续跟踪贷款投向，确保贷款资金真正流向小型企业、微型企业和个体工商户，贷款的实际使用主体与申请主体一致。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税务总局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2023年8月1日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sz w:val="32"/>
          <w:szCs w:val="32"/>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000000"/>
    <w:rsid w:val="3C897D24"/>
    <w:rsid w:val="667F49A8"/>
    <w:rsid w:val="7A6E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2023-08-02T08:09:33Z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7B2147A8685E4BEAA1FDEA5F41A30411_13</vt:lpwstr>
  </property>
</Properties>
</file>