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关于延续执行农户、小微企业和个体工商户融资担保增值税政策的公告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为进一步支持农户、小微企业和个体工商户融资，现将有关税收政策公告如下：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营业收入（年）=企业实际存续期间营业收入/企业实际存续月数×12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纳税人应将相关免税证明材料留存备查，单独核算符合免税条件的融资担保费和再担保费收入，按现行规定向主管税务机关办理纳税申报；未单独核算的，不得免征增值税。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三、本公告执行至2027年12月31日。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2023年8月1日</w:t>
      </w:r>
    </w:p>
    <w:p>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00000000"/>
    <w:rsid w:val="2F4B13A4"/>
    <w:rsid w:val="3C897D24"/>
    <w:rsid w:val="667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2023-08-02T08:11:30Z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62D41EF0DD8E4C319E37E21EB95A243D_13</vt:lpwstr>
  </property>
</Properties>
</file>