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rFonts w:ascii="Microsoft YaHei UI" w:hAnsi="Microsoft YaHei UI" w:eastAsia="Microsoft YaHei UI" w:cs="Microsoft YaHei UI"/>
          <w:color w:val="auto"/>
          <w:spacing w:val="9"/>
          <w:kern w:val="0"/>
          <w:sz w:val="24"/>
          <w:szCs w:val="24"/>
          <w:bdr w:val="none" w:color="auto" w:sz="0" w:space="0"/>
          <w:lang w:val="en-US" w:eastAsia="zh-CN" w:bidi="ar"/>
        </w:rPr>
      </w:pPr>
      <w:r>
        <w:rPr>
          <w:rStyle w:val="5"/>
          <w:rFonts w:ascii="Microsoft YaHei UI" w:hAnsi="Microsoft YaHei UI" w:eastAsia="Microsoft YaHei UI" w:cs="Microsoft YaHei UI"/>
          <w:color w:val="auto"/>
          <w:spacing w:val="9"/>
          <w:kern w:val="0"/>
          <w:sz w:val="24"/>
          <w:szCs w:val="24"/>
          <w:bdr w:val="none" w:color="auto" w:sz="0" w:space="0"/>
          <w:lang w:val="en-US" w:eastAsia="zh-CN" w:bidi="ar"/>
        </w:rPr>
        <w:t>财政部 税务总局</w:t>
      </w:r>
    </w:p>
    <w:p>
      <w:pPr>
        <w:keepNext w:val="0"/>
        <w:keepLines w:val="0"/>
        <w:widowControl/>
        <w:suppressLineNumbers w:val="0"/>
        <w:jc w:val="center"/>
        <w:rPr>
          <w:rStyle w:val="5"/>
          <w:rFonts w:ascii="宋体" w:hAnsi="宋体" w:eastAsia="宋体" w:cs="宋体"/>
          <w:color w:val="auto"/>
          <w:spacing w:val="9"/>
          <w:kern w:val="0"/>
          <w:sz w:val="24"/>
          <w:szCs w:val="24"/>
          <w:bdr w:val="none" w:color="auto" w:sz="0" w:space="0"/>
          <w:lang w:val="en-US" w:eastAsia="zh-CN" w:bidi="ar"/>
        </w:rPr>
      </w:pPr>
      <w:bookmarkStart w:id="0" w:name="_GoBack"/>
      <w:r>
        <w:rPr>
          <w:rStyle w:val="5"/>
          <w:rFonts w:ascii="宋体" w:hAnsi="宋体" w:eastAsia="宋体" w:cs="宋体"/>
          <w:color w:val="auto"/>
          <w:spacing w:val="9"/>
          <w:kern w:val="0"/>
          <w:sz w:val="24"/>
          <w:szCs w:val="24"/>
          <w:bdr w:val="none" w:color="auto" w:sz="0" w:space="0"/>
          <w:lang w:val="en-US" w:eastAsia="zh-CN" w:bidi="ar"/>
        </w:rPr>
        <w:t>关于延续实施支持文化企业发展增值税政策的公告</w:t>
      </w:r>
      <w:bookmarkEnd w:id="0"/>
    </w:p>
    <w:p>
      <w:pPr>
        <w:keepNext w:val="0"/>
        <w:keepLines w:val="0"/>
        <w:widowControl/>
        <w:suppressLineNumbers w:val="0"/>
        <w:jc w:val="center"/>
        <w:rPr>
          <w:color w:val="auto"/>
        </w:rPr>
      </w:pPr>
      <w:r>
        <w:rPr>
          <w:rFonts w:ascii="宋体" w:hAnsi="宋体" w:eastAsia="宋体" w:cs="宋体"/>
          <w:color w:val="auto"/>
          <w:spacing w:val="9"/>
          <w:kern w:val="0"/>
          <w:sz w:val="21"/>
          <w:szCs w:val="21"/>
          <w:bdr w:val="none" w:color="auto" w:sz="0" w:space="0"/>
          <w:lang w:val="en-US" w:eastAsia="zh-CN" w:bidi="ar"/>
        </w:rPr>
        <w:t>财政部 税务总局公告2023年第61号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auto"/>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5"/>
          <w:szCs w:val="25"/>
          <w:bdr w:val="none" w:color="auto" w:sz="0" w:space="0"/>
        </w:rPr>
        <w:t>为支持文化企业发展，现就延续实施有关增值税政策公告如下：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5"/>
          <w:szCs w:val="25"/>
          <w:bdr w:val="none" w:color="auto" w:sz="0" w:space="0"/>
        </w:rPr>
        <w:t>一、</w:t>
      </w:r>
      <w:r>
        <w:rPr>
          <w:rStyle w:val="5"/>
          <w:rFonts w:hint="eastAsia" w:ascii="Microsoft YaHei UI" w:hAnsi="Microsoft YaHei UI" w:eastAsia="Microsoft YaHei UI" w:cs="Microsoft YaHei UI"/>
          <w:i w:val="0"/>
          <w:iCs w:val="0"/>
          <w:caps w:val="0"/>
          <w:color w:val="auto"/>
          <w:spacing w:val="8"/>
          <w:sz w:val="25"/>
          <w:szCs w:val="25"/>
          <w:bdr w:val="none" w:color="auto" w:sz="0" w:space="0"/>
        </w:rPr>
        <w:t>对电影主管部门（包括中央、省、地市及县级）按照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w:t>
      </w:r>
      <w:r>
        <w:rPr>
          <w:rFonts w:hint="eastAsia" w:ascii="Microsoft YaHei UI" w:hAnsi="Microsoft YaHei UI" w:eastAsia="Microsoft YaHei UI" w:cs="Microsoft YaHei UI"/>
          <w:i w:val="0"/>
          <w:iCs w:val="0"/>
          <w:caps w:val="0"/>
          <w:color w:val="auto"/>
          <w:spacing w:val="8"/>
          <w:sz w:val="25"/>
          <w:szCs w:val="25"/>
          <w:bdr w:val="none" w:color="auto" w:sz="0" w:space="0"/>
        </w:rPr>
        <w:t>一般纳税人提供的城市电影放映服务，可以按现行政策规定，选择按照简易计税办法计算缴纳增值税。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5"/>
          <w:szCs w:val="25"/>
          <w:bdr w:val="none" w:color="auto" w:sz="0" w:space="0"/>
        </w:rPr>
        <w:t>二、对广播电视运营服务企业收取的有线数字电视基本收视维护费和农村有线电视基本收视费，免征增值税。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5"/>
          <w:szCs w:val="25"/>
          <w:bdr w:val="none" w:color="auto" w:sz="0" w:space="0"/>
        </w:rPr>
        <w:t>三、本公告执行至2027年12月31日。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5"/>
          <w:szCs w:val="25"/>
          <w:bdr w:val="none" w:color="auto" w:sz="0" w:space="0"/>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5"/>
          <w:szCs w:val="25"/>
          <w:bdr w:val="none" w:color="auto" w:sz="0" w:space="0"/>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5"/>
          <w:szCs w:val="25"/>
          <w:bdr w:val="none" w:color="auto" w:sz="0" w:space="0"/>
        </w:rPr>
        <w:t>2023年9月22日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GQ2MDA5NDUwODUwYjc0MjRlYjI4Yzg1Yzk5MWUifQ=="/>
  </w:docVars>
  <w:rsids>
    <w:rsidRoot w:val="369739D3"/>
    <w:rsid w:val="3697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2023-09-28T06:41:00Z</dcterms:created>
  <dc:creator>yutun</dc:creator>
  <cp:lastModifiedBy>yutun</cp:lastModifiedBy>
  <dcterms:modified xsi:type="dcterms:W3CDTF">2023-09-28T07:15:54Z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708332C49E094586AA06CB3DD2902E18_11</vt:lpwstr>
  </property>
</Properties>
</file>