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pPr>
      <w:r>
        <w:rPr>
          <w:rStyle w:val="5"/>
          <w:rFonts w:hint="eastAsia" w:ascii="宋体" w:hAnsi="宋体" w:eastAsia="宋体" w:cs="宋体"/>
          <w:i w:val="0"/>
          <w:iCs w:val="0"/>
          <w:color w:val="333333"/>
          <w:spacing w:val="0"/>
          <w:sz w:val="43"/>
          <w:szCs w:val="43"/>
          <w:u w:val="none"/>
          <w:shd w:val="clear" w:fill="FFFFFF"/>
        </w:rPr>
        <w:t>南宫市医疗保障局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pPr>
      <w:r>
        <w:rPr>
          <w:rStyle w:val="5"/>
          <w:rFonts w:hint="eastAsia" w:ascii="宋体" w:hAnsi="宋体" w:eastAsia="宋体" w:cs="宋体"/>
          <w:i w:val="0"/>
          <w:iCs w:val="0"/>
          <w:color w:val="333333"/>
          <w:spacing w:val="0"/>
          <w:sz w:val="43"/>
          <w:szCs w:val="43"/>
          <w:u w:val="none"/>
          <w:shd w:val="clear" w:fill="FFFFFF"/>
          <w:lang w:eastAsia="zh-CN"/>
        </w:rPr>
        <w:t>2023</w:t>
      </w:r>
      <w:r>
        <w:rPr>
          <w:rStyle w:val="5"/>
          <w:rFonts w:hint="eastAsia" w:ascii="宋体" w:hAnsi="宋体" w:eastAsia="宋体" w:cs="宋体"/>
          <w:i w:val="0"/>
          <w:iCs w:val="0"/>
          <w:color w:val="333333"/>
          <w:spacing w:val="0"/>
          <w:sz w:val="43"/>
          <w:szCs w:val="43"/>
          <w:u w:val="none"/>
          <w:shd w:val="clear" w:fill="FFFFFF"/>
        </w:rPr>
        <w:t>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pPr>
      <w:r>
        <w:rPr>
          <w:rStyle w:val="5"/>
          <w:rFonts w:hint="eastAsia" w:ascii="宋体" w:hAnsi="宋体" w:eastAsia="宋体" w:cs="宋体"/>
          <w:i w:val="0"/>
          <w:iCs w:val="0"/>
          <w:color w:val="333333"/>
          <w:spacing w:val="0"/>
          <w:sz w:val="24"/>
          <w:szCs w:val="24"/>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pPr>
      <w:r>
        <w:rPr>
          <w:rFonts w:ascii="黑体" w:hAnsi="宋体" w:eastAsia="黑体" w:cs="黑体"/>
          <w:i w:val="0"/>
          <w:iCs w:val="0"/>
          <w:color w:val="333333"/>
          <w:spacing w:val="0"/>
          <w:sz w:val="31"/>
          <w:szCs w:val="31"/>
          <w:u w:val="none"/>
          <w:shd w:val="clear" w:fill="FFFFFF"/>
        </w:rPr>
        <w:t>一、总体情况</w:t>
      </w:r>
    </w:p>
    <w:p>
      <w:pPr>
        <w:pStyle w:val="2"/>
        <w:keepNext w:val="0"/>
        <w:keepLines w:val="0"/>
        <w:widowControl/>
        <w:suppressLineNumbers w:val="0"/>
        <w:spacing w:before="0" w:beforeAutospacing="0" w:after="0" w:afterAutospacing="0"/>
        <w:ind w:left="0" w:right="0" w:firstLine="645"/>
        <w:jc w:val="both"/>
      </w:pPr>
      <w:r>
        <w:rPr>
          <w:rFonts w:ascii="仿宋_GB2312" w:hAnsi="微软雅黑" w:eastAsia="仿宋_GB2312" w:cs="仿宋_GB2312"/>
          <w:i w:val="0"/>
          <w:iCs w:val="0"/>
          <w:sz w:val="31"/>
          <w:szCs w:val="31"/>
          <w:u w:val="none"/>
        </w:rPr>
        <w:t>202</w:t>
      </w:r>
      <w:r>
        <w:rPr>
          <w:rFonts w:hint="eastAsia" w:ascii="仿宋_GB2312" w:eastAsia="仿宋_GB2312" w:cs="仿宋_GB2312"/>
          <w:i w:val="0"/>
          <w:iCs w:val="0"/>
          <w:sz w:val="31"/>
          <w:szCs w:val="31"/>
          <w:u w:val="none"/>
          <w:lang w:val="en-US" w:eastAsia="zh-CN"/>
        </w:rPr>
        <w:t>3</w:t>
      </w:r>
      <w:r>
        <w:rPr>
          <w:rFonts w:ascii="仿宋_GB2312" w:hAnsi="微软雅黑" w:eastAsia="仿宋_GB2312" w:cs="仿宋_GB2312"/>
          <w:i w:val="0"/>
          <w:iCs w:val="0"/>
          <w:sz w:val="31"/>
          <w:szCs w:val="31"/>
          <w:u w:val="none"/>
        </w:rPr>
        <w:t xml:space="preserve">年政府信息公开工作，坚持以习近平新时代中国特色社会主义思想为指导，深入贯彻党的二十大精神，认真贯彻党中央、国务院和省委、省政府关于政务公开工作决策部署，紧紧围绕市委、市政府中心工作，全面落实《中华人民共和国政府信息公开条例》，紧紧围绕经济社会发展和人民群众关注关切，以全面提高政府工作透明度为目的，始终坚持“公开为常态、不公开为例外”，深化公开内容，拓宽公开渠道，增强公开实效，不断提升政务公开标准化规范化水平。 </w:t>
      </w:r>
      <w:r>
        <w:rPr>
          <w:rFonts w:hint="eastAsia" w:ascii="仿宋_GB2312" w:hAnsi="微软雅黑" w:eastAsia="仿宋_GB2312" w:cs="仿宋_GB2312"/>
          <w:i w:val="0"/>
          <w:iCs w:val="0"/>
          <w:sz w:val="31"/>
          <w:szCs w:val="31"/>
          <w:u w:val="none"/>
        </w:rPr>
        <w:br w:type="textWrapping"/>
      </w:r>
      <w:r>
        <w:rPr>
          <w:rFonts w:hint="eastAsia" w:ascii="仿宋_GB2312" w:hAnsi="微软雅黑" w:eastAsia="仿宋_GB2312" w:cs="仿宋_GB2312"/>
          <w:i w:val="0"/>
          <w:iCs w:val="0"/>
          <w:sz w:val="31"/>
          <w:szCs w:val="31"/>
          <w:u w:val="none"/>
        </w:rPr>
        <w:t>　  （一）主动公开进一步加强。截至202</w:t>
      </w:r>
      <w:r>
        <w:rPr>
          <w:rFonts w:hint="eastAsia" w:ascii="仿宋_GB2312" w:eastAsia="仿宋_GB2312" w:cs="仿宋_GB2312"/>
          <w:i w:val="0"/>
          <w:iCs w:val="0"/>
          <w:sz w:val="31"/>
          <w:szCs w:val="31"/>
          <w:u w:val="none"/>
          <w:lang w:val="en-US" w:eastAsia="zh-CN"/>
        </w:rPr>
        <w:t>3</w:t>
      </w:r>
      <w:r>
        <w:rPr>
          <w:rFonts w:hint="eastAsia" w:ascii="仿宋_GB2312" w:hAnsi="微软雅黑" w:eastAsia="仿宋_GB2312" w:cs="仿宋_GB2312"/>
          <w:i w:val="0"/>
          <w:iCs w:val="0"/>
          <w:sz w:val="31"/>
          <w:szCs w:val="31"/>
          <w:u w:val="none"/>
        </w:rPr>
        <w:t>年底我局共发布政务公开信息</w:t>
      </w:r>
      <w:r>
        <w:rPr>
          <w:rFonts w:hint="eastAsia" w:ascii="仿宋_GB2312" w:eastAsia="仿宋_GB2312" w:cs="仿宋_GB2312"/>
          <w:i w:val="0"/>
          <w:iCs w:val="0"/>
          <w:sz w:val="31"/>
          <w:szCs w:val="31"/>
          <w:u w:val="none"/>
          <w:lang w:val="en-US" w:eastAsia="zh-CN"/>
        </w:rPr>
        <w:t>123</w:t>
      </w:r>
      <w:r>
        <w:rPr>
          <w:rFonts w:hint="eastAsia" w:ascii="仿宋_GB2312" w:hAnsi="微软雅黑" w:eastAsia="仿宋_GB2312" w:cs="仿宋_GB2312"/>
          <w:i w:val="0"/>
          <w:iCs w:val="0"/>
          <w:sz w:val="31"/>
          <w:szCs w:val="31"/>
          <w:u w:val="none"/>
        </w:rPr>
        <w:t>篇，涉及机构职能、公示、公告、政策宣传、时时新闻等。其中：法定主动公开内容</w:t>
      </w:r>
      <w:r>
        <w:rPr>
          <w:rFonts w:hint="eastAsia" w:ascii="仿宋_GB2312" w:eastAsia="仿宋_GB2312" w:cs="仿宋_GB2312"/>
          <w:i w:val="0"/>
          <w:iCs w:val="0"/>
          <w:sz w:val="31"/>
          <w:szCs w:val="31"/>
          <w:u w:val="none"/>
          <w:lang w:val="en-US" w:eastAsia="zh-CN"/>
        </w:rPr>
        <w:t>119</w:t>
      </w:r>
      <w:r>
        <w:rPr>
          <w:rFonts w:hint="eastAsia" w:ascii="仿宋_GB2312" w:hAnsi="微软雅黑" w:eastAsia="仿宋_GB2312" w:cs="仿宋_GB2312"/>
          <w:i w:val="0"/>
          <w:iCs w:val="0"/>
          <w:sz w:val="31"/>
          <w:szCs w:val="31"/>
          <w:u w:val="none"/>
        </w:rPr>
        <w:t>篇，政府信息</w:t>
      </w:r>
      <w:r>
        <w:rPr>
          <w:rFonts w:hint="eastAsia" w:ascii="仿宋_GB2312" w:eastAsia="仿宋_GB2312" w:cs="仿宋_GB2312"/>
          <w:i w:val="0"/>
          <w:iCs w:val="0"/>
          <w:sz w:val="31"/>
          <w:szCs w:val="31"/>
          <w:u w:val="none"/>
          <w:lang w:val="en-US" w:eastAsia="zh-CN"/>
        </w:rPr>
        <w:t>公开</w:t>
      </w:r>
      <w:r>
        <w:rPr>
          <w:rFonts w:hint="eastAsia" w:ascii="仿宋_GB2312" w:hAnsi="微软雅黑" w:eastAsia="仿宋_GB2312" w:cs="仿宋_GB2312"/>
          <w:i w:val="0"/>
          <w:iCs w:val="0"/>
          <w:sz w:val="31"/>
          <w:szCs w:val="31"/>
          <w:u w:val="none"/>
        </w:rPr>
        <w:t>指南1篇，政府信息公开年报</w:t>
      </w:r>
      <w:r>
        <w:rPr>
          <w:rFonts w:hint="eastAsia" w:ascii="仿宋_GB2312" w:eastAsia="仿宋_GB2312" w:cs="仿宋_GB2312"/>
          <w:i w:val="0"/>
          <w:iCs w:val="0"/>
          <w:sz w:val="31"/>
          <w:szCs w:val="31"/>
          <w:u w:val="none"/>
          <w:lang w:val="en-US" w:eastAsia="zh-CN"/>
        </w:rPr>
        <w:t>3</w:t>
      </w:r>
      <w:r>
        <w:rPr>
          <w:rFonts w:hint="eastAsia" w:ascii="仿宋_GB2312" w:hAnsi="微软雅黑" w:eastAsia="仿宋_GB2312" w:cs="仿宋_GB2312"/>
          <w:i w:val="0"/>
          <w:iCs w:val="0"/>
          <w:sz w:val="31"/>
          <w:szCs w:val="31"/>
          <w:u w:val="none"/>
        </w:rPr>
        <w:t>篇。</w:t>
      </w:r>
    </w:p>
    <w:p>
      <w:pPr>
        <w:pStyle w:val="2"/>
        <w:keepNext w:val="0"/>
        <w:keepLines w:val="0"/>
        <w:widowControl/>
        <w:suppressLineNumbers w:val="0"/>
        <w:spacing w:before="0" w:beforeAutospacing="0" w:after="0" w:afterAutospacing="0"/>
        <w:ind w:left="0" w:right="0" w:firstLine="645"/>
        <w:jc w:val="both"/>
        <w:rPr>
          <w:color w:val="auto"/>
        </w:rPr>
      </w:pPr>
      <w:r>
        <w:rPr>
          <w:rFonts w:hint="eastAsia" w:ascii="仿宋_GB2312" w:hAnsi="微软雅黑" w:eastAsia="仿宋_GB2312" w:cs="仿宋_GB2312"/>
          <w:i w:val="0"/>
          <w:iCs w:val="0"/>
          <w:color w:val="auto"/>
          <w:sz w:val="31"/>
          <w:szCs w:val="31"/>
          <w:u w:val="none"/>
        </w:rPr>
        <w:t>（二）依申请公开进一步规范。</w:t>
      </w:r>
      <w:r>
        <w:rPr>
          <w:rFonts w:hint="eastAsia" w:ascii="仿宋_GB2312" w:eastAsia="仿宋_GB2312" w:cs="仿宋_GB2312"/>
          <w:i w:val="0"/>
          <w:iCs w:val="0"/>
          <w:color w:val="auto"/>
          <w:sz w:val="31"/>
          <w:szCs w:val="31"/>
          <w:u w:val="none"/>
          <w:lang w:eastAsia="zh-CN"/>
        </w:rPr>
        <w:t>2023</w:t>
      </w:r>
      <w:r>
        <w:rPr>
          <w:rFonts w:hint="eastAsia" w:ascii="仿宋_GB2312" w:hAnsi="微软雅黑" w:eastAsia="仿宋_GB2312" w:cs="仿宋_GB2312"/>
          <w:i w:val="0"/>
          <w:iCs w:val="0"/>
          <w:color w:val="auto"/>
          <w:sz w:val="31"/>
          <w:szCs w:val="31"/>
          <w:u w:val="none"/>
        </w:rPr>
        <w:t>年，我局共收到依申请公开0件。</w:t>
      </w:r>
    </w:p>
    <w:p>
      <w:pPr>
        <w:pStyle w:val="2"/>
        <w:keepNext w:val="0"/>
        <w:keepLines w:val="0"/>
        <w:widowControl/>
        <w:suppressLineNumbers w:val="0"/>
        <w:spacing w:before="0" w:beforeAutospacing="0" w:after="0" w:afterAutospacing="0"/>
        <w:ind w:left="0" w:right="0" w:firstLine="645"/>
        <w:jc w:val="both"/>
      </w:pPr>
      <w:r>
        <w:rPr>
          <w:rFonts w:hint="eastAsia" w:ascii="仿宋_GB2312" w:hAnsi="微软雅黑" w:eastAsia="仿宋_GB2312" w:cs="仿宋_GB2312"/>
          <w:i w:val="0"/>
          <w:iCs w:val="0"/>
          <w:sz w:val="31"/>
          <w:szCs w:val="31"/>
          <w:u w:val="none"/>
        </w:rPr>
        <w:t>（三）政府信息管理进一步严格。</w:t>
      </w:r>
      <w:r>
        <w:rPr>
          <w:rFonts w:hint="eastAsia" w:ascii="仿宋_GB2312" w:eastAsia="仿宋_GB2312" w:cs="仿宋_GB2312"/>
          <w:i w:val="0"/>
          <w:iCs w:val="0"/>
          <w:sz w:val="31"/>
          <w:szCs w:val="31"/>
          <w:u w:val="none"/>
          <w:lang w:eastAsia="zh-CN"/>
        </w:rPr>
        <w:t>2023</w:t>
      </w:r>
      <w:r>
        <w:rPr>
          <w:rFonts w:hint="eastAsia" w:ascii="仿宋_GB2312" w:hAnsi="微软雅黑" w:eastAsia="仿宋_GB2312" w:cs="仿宋_GB2312"/>
          <w:i w:val="0"/>
          <w:iCs w:val="0"/>
          <w:sz w:val="31"/>
          <w:szCs w:val="31"/>
          <w:u w:val="none"/>
        </w:rPr>
        <w:t>年，我局未发生涉及政府信息公开行政复议案件；未发生涉及政府信息公开行政诉讼案件。</w:t>
      </w:r>
    </w:p>
    <w:p>
      <w:pPr>
        <w:pStyle w:val="2"/>
        <w:keepNext w:val="0"/>
        <w:keepLines w:val="0"/>
        <w:widowControl/>
        <w:suppressLineNumbers w:val="0"/>
        <w:spacing w:before="0" w:beforeAutospacing="0" w:after="0" w:afterAutospacing="0"/>
        <w:ind w:left="0" w:right="0" w:firstLine="645"/>
      </w:pPr>
      <w:r>
        <w:rPr>
          <w:rFonts w:hint="eastAsia" w:ascii="仿宋_GB2312" w:hAnsi="微软雅黑" w:eastAsia="仿宋_GB2312" w:cs="仿宋_GB2312"/>
          <w:i w:val="0"/>
          <w:iCs w:val="0"/>
          <w:sz w:val="31"/>
          <w:szCs w:val="31"/>
          <w:u w:val="none"/>
        </w:rPr>
        <w:t>（四）政府信息公开平台建设进一步推进。南官市人民政府信息公开平台作为我局政府信息和政务公开第一平台，及时发布新闻类、政务类、办事类、咨询类、宣传教育类、公共服务类等信息，保障公众知情权、参与权和监督权。</w:t>
      </w:r>
    </w:p>
    <w:p>
      <w:pPr>
        <w:pStyle w:val="2"/>
        <w:keepNext w:val="0"/>
        <w:keepLines w:val="0"/>
        <w:widowControl/>
        <w:suppressLineNumbers w:val="0"/>
        <w:spacing w:before="0" w:beforeAutospacing="0" w:after="0" w:afterAutospacing="0"/>
        <w:ind w:left="0" w:right="0" w:firstLine="645"/>
      </w:pPr>
      <w:r>
        <w:rPr>
          <w:rFonts w:hint="eastAsia" w:ascii="仿宋_GB2312" w:hAnsi="微软雅黑" w:eastAsia="仿宋_GB2312" w:cs="仿宋_GB2312"/>
          <w:i w:val="0"/>
          <w:iCs w:val="0"/>
          <w:sz w:val="31"/>
          <w:szCs w:val="31"/>
          <w:u w:val="none"/>
        </w:rPr>
        <w:t>（五）监督保障进一步强化。我局高度重视政府信息公开工作，由办公室管理政务公开工作，做好政务公开内容日常维护，发现问题第一时间整改。</w:t>
      </w:r>
    </w:p>
    <w:p>
      <w:pPr>
        <w:pStyle w:val="2"/>
        <w:keepNext w:val="0"/>
        <w:keepLines w:val="0"/>
        <w:widowControl/>
        <w:suppressLineNumbers w:val="0"/>
        <w:spacing w:before="0" w:beforeAutospacing="0" w:after="150" w:afterAutospacing="0" w:line="555" w:lineRule="atLeast"/>
        <w:ind w:left="0" w:right="0" w:firstLine="645"/>
      </w:pPr>
      <w:r>
        <w:rPr>
          <w:rFonts w:hint="eastAsia" w:ascii="黑体" w:hAnsi="宋体" w:eastAsia="黑体" w:cs="黑体"/>
          <w:i w:val="0"/>
          <w:iCs w:val="0"/>
          <w:sz w:val="31"/>
          <w:szCs w:val="31"/>
          <w:u w:val="none"/>
        </w:rPr>
        <w:t>二、主动公开政府信息情况</w:t>
      </w:r>
    </w:p>
    <w:tbl>
      <w:tblPr>
        <w:tblStyle w:val="3"/>
        <w:tblW w:w="8205" w:type="dxa"/>
        <w:tblCellSpacing w:w="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23"/>
        <w:gridCol w:w="1713"/>
        <w:gridCol w:w="1464"/>
        <w:gridCol w:w="1905"/>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blCellSpacing w:w="15" w:type="dxa"/>
        </w:trPr>
        <w:tc>
          <w:tcPr>
            <w:tcW w:w="8205" w:type="dxa"/>
            <w:gridSpan w:val="4"/>
            <w:tcBorders>
              <w:top w:val="single" w:color="666666" w:sz="6" w:space="0"/>
              <w:left w:val="single" w:color="666666" w:sz="6" w:space="0"/>
              <w:bottom w:val="single" w:color="666666" w:sz="6" w:space="0"/>
              <w:right w:val="single" w:color="666666" w:sz="6" w:space="0"/>
            </w:tcBorders>
            <w:shd w:val="clear" w:color="auto" w:fill="C6D9F1"/>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第二十条第（一）项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blCellSpacing w:w="15" w:type="dxa"/>
        </w:trPr>
        <w:tc>
          <w:tcPr>
            <w:tcW w:w="31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信息内容</w:t>
            </w:r>
          </w:p>
        </w:tc>
        <w:tc>
          <w:tcPr>
            <w:tcW w:w="171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本年制发件数</w:t>
            </w:r>
          </w:p>
        </w:tc>
        <w:tc>
          <w:tcPr>
            <w:tcW w:w="145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本年废止件数</w:t>
            </w:r>
          </w:p>
        </w:tc>
        <w:tc>
          <w:tcPr>
            <w:tcW w:w="189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现行有效件数</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blCellSpacing w:w="15" w:type="dxa"/>
        </w:trPr>
        <w:tc>
          <w:tcPr>
            <w:tcW w:w="31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宋体" w:hAnsi="宋体" w:eastAsia="宋体" w:cs="宋体"/>
                <w:i w:val="0"/>
                <w:iCs w:val="0"/>
                <w:sz w:val="19"/>
                <w:szCs w:val="19"/>
                <w:u w:val="none"/>
              </w:rPr>
              <w:t>规章</w:t>
            </w:r>
          </w:p>
        </w:tc>
        <w:tc>
          <w:tcPr>
            <w:tcW w:w="171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21"/>
                <w:szCs w:val="21"/>
                <w:u w:val="none"/>
              </w:rPr>
              <w:t>0</w:t>
            </w:r>
          </w:p>
        </w:tc>
        <w:tc>
          <w:tcPr>
            <w:tcW w:w="145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21"/>
                <w:szCs w:val="21"/>
                <w:u w:val="none"/>
              </w:rPr>
              <w:t>0</w:t>
            </w:r>
          </w:p>
        </w:tc>
        <w:tc>
          <w:tcPr>
            <w:tcW w:w="189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31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宋体" w:hAnsi="宋体" w:eastAsia="宋体" w:cs="宋体"/>
                <w:i w:val="0"/>
                <w:iCs w:val="0"/>
                <w:sz w:val="19"/>
                <w:szCs w:val="19"/>
                <w:u w:val="none"/>
              </w:rPr>
              <w:t>行政规范性文件</w:t>
            </w:r>
          </w:p>
        </w:tc>
        <w:tc>
          <w:tcPr>
            <w:tcW w:w="171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21"/>
                <w:szCs w:val="21"/>
                <w:u w:val="none"/>
              </w:rPr>
              <w:t>0</w:t>
            </w:r>
          </w:p>
        </w:tc>
        <w:tc>
          <w:tcPr>
            <w:tcW w:w="145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21"/>
                <w:szCs w:val="21"/>
                <w:u w:val="none"/>
              </w:rPr>
              <w:t>0</w:t>
            </w:r>
          </w:p>
        </w:tc>
        <w:tc>
          <w:tcPr>
            <w:tcW w:w="189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8205" w:type="dxa"/>
            <w:gridSpan w:val="4"/>
            <w:tcBorders>
              <w:top w:val="single" w:color="666666" w:sz="6" w:space="0"/>
              <w:left w:val="single" w:color="666666" w:sz="6" w:space="0"/>
              <w:bottom w:val="single" w:color="666666" w:sz="6" w:space="0"/>
              <w:right w:val="single" w:color="666666" w:sz="6" w:space="0"/>
            </w:tcBorders>
            <w:shd w:val="clear" w:color="auto" w:fill="C6D9F1"/>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第二十条第（五）项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45" w:hRule="atLeast"/>
          <w:tblCellSpacing w:w="15" w:type="dxa"/>
        </w:trPr>
        <w:tc>
          <w:tcPr>
            <w:tcW w:w="31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信息内容</w:t>
            </w:r>
          </w:p>
        </w:tc>
        <w:tc>
          <w:tcPr>
            <w:tcW w:w="5070" w:type="dxa"/>
            <w:gridSpan w:val="3"/>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本年处理决定数量</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30" w:hRule="atLeast"/>
          <w:tblCellSpacing w:w="15" w:type="dxa"/>
        </w:trPr>
        <w:tc>
          <w:tcPr>
            <w:tcW w:w="31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宋体" w:hAnsi="宋体" w:eastAsia="宋体" w:cs="宋体"/>
                <w:i w:val="0"/>
                <w:iCs w:val="0"/>
                <w:sz w:val="19"/>
                <w:szCs w:val="19"/>
                <w:u w:val="none"/>
              </w:rPr>
              <w:t>行政许可</w:t>
            </w:r>
          </w:p>
        </w:tc>
        <w:tc>
          <w:tcPr>
            <w:tcW w:w="5070" w:type="dxa"/>
            <w:gridSpan w:val="3"/>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75" w:hRule="atLeast"/>
          <w:tblCellSpacing w:w="15" w:type="dxa"/>
        </w:trPr>
        <w:tc>
          <w:tcPr>
            <w:tcW w:w="8205" w:type="dxa"/>
            <w:gridSpan w:val="4"/>
            <w:tcBorders>
              <w:top w:val="single" w:color="666666" w:sz="6" w:space="0"/>
              <w:left w:val="single" w:color="666666" w:sz="6" w:space="0"/>
              <w:bottom w:val="single" w:color="666666" w:sz="6" w:space="0"/>
              <w:right w:val="single" w:color="666666" w:sz="6" w:space="0"/>
            </w:tcBorders>
            <w:shd w:val="clear" w:color="auto" w:fill="C6D9F1"/>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第二十条第（六）项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795" w:hRule="atLeast"/>
          <w:tblCellSpacing w:w="15" w:type="dxa"/>
        </w:trPr>
        <w:tc>
          <w:tcPr>
            <w:tcW w:w="31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信息内容</w:t>
            </w:r>
          </w:p>
        </w:tc>
        <w:tc>
          <w:tcPr>
            <w:tcW w:w="5070" w:type="dxa"/>
            <w:gridSpan w:val="3"/>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本年处理决定数量</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795" w:hRule="atLeast"/>
          <w:tblCellSpacing w:w="15" w:type="dxa"/>
        </w:trPr>
        <w:tc>
          <w:tcPr>
            <w:tcW w:w="31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rPr>
                <w:color w:val="auto"/>
              </w:rPr>
            </w:pPr>
            <w:r>
              <w:rPr>
                <w:rFonts w:hint="eastAsia" w:ascii="宋体" w:hAnsi="宋体" w:eastAsia="宋体" w:cs="宋体"/>
                <w:i w:val="0"/>
                <w:iCs w:val="0"/>
                <w:color w:val="auto"/>
                <w:sz w:val="19"/>
                <w:szCs w:val="19"/>
                <w:u w:val="none"/>
              </w:rPr>
              <w:t>行政处罚</w:t>
            </w:r>
          </w:p>
        </w:tc>
        <w:tc>
          <w:tcPr>
            <w:tcW w:w="5070" w:type="dxa"/>
            <w:gridSpan w:val="3"/>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rPr>
                <w:rFonts w:hint="eastAsia" w:eastAsia="微软雅黑"/>
                <w:lang w:eastAsia="zh-CN"/>
              </w:rPr>
            </w:pPr>
            <w:r>
              <w:rPr>
                <w:rFonts w:hint="eastAsia" w:ascii="宋体" w:hAnsi="宋体" w:eastAsia="宋体" w:cs="宋体"/>
                <w:i w:val="0"/>
                <w:iCs w:val="0"/>
                <w:sz w:val="21"/>
                <w:szCs w:val="21"/>
                <w:u w:val="none"/>
                <w:lang w:val="en-US" w:eastAsia="zh-CN"/>
              </w:rPr>
              <w:t>1</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765" w:hRule="atLeast"/>
          <w:tblCellSpacing w:w="15" w:type="dxa"/>
        </w:trPr>
        <w:tc>
          <w:tcPr>
            <w:tcW w:w="31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rPr>
                <w:color w:val="auto"/>
              </w:rPr>
            </w:pPr>
            <w:r>
              <w:rPr>
                <w:rFonts w:hint="eastAsia" w:ascii="宋体" w:hAnsi="宋体" w:eastAsia="宋体" w:cs="宋体"/>
                <w:i w:val="0"/>
                <w:iCs w:val="0"/>
                <w:color w:val="auto"/>
                <w:sz w:val="19"/>
                <w:szCs w:val="19"/>
                <w:u w:val="none"/>
              </w:rPr>
              <w:t>行政强制</w:t>
            </w:r>
          </w:p>
        </w:tc>
        <w:tc>
          <w:tcPr>
            <w:tcW w:w="5070" w:type="dxa"/>
            <w:gridSpan w:val="3"/>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705" w:hRule="atLeast"/>
          <w:tblCellSpacing w:w="15" w:type="dxa"/>
        </w:trPr>
        <w:tc>
          <w:tcPr>
            <w:tcW w:w="8205" w:type="dxa"/>
            <w:gridSpan w:val="4"/>
            <w:tcBorders>
              <w:top w:val="single" w:color="666666" w:sz="6" w:space="0"/>
              <w:left w:val="single" w:color="666666" w:sz="6" w:space="0"/>
              <w:bottom w:val="single" w:color="666666" w:sz="6" w:space="0"/>
              <w:right w:val="single" w:color="666666" w:sz="6" w:space="0"/>
            </w:tcBorders>
            <w:shd w:val="clear" w:color="auto" w:fill="C6D9F1"/>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第二十条第（八）项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blCellSpacing w:w="15" w:type="dxa"/>
        </w:trPr>
        <w:tc>
          <w:tcPr>
            <w:tcW w:w="31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信息内容</w:t>
            </w:r>
          </w:p>
        </w:tc>
        <w:tc>
          <w:tcPr>
            <w:tcW w:w="5070" w:type="dxa"/>
            <w:gridSpan w:val="3"/>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本年收费金额（单位：万元）</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tblCellSpacing w:w="15" w:type="dxa"/>
        </w:trPr>
        <w:tc>
          <w:tcPr>
            <w:tcW w:w="31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宋体" w:hAnsi="宋体" w:eastAsia="宋体" w:cs="宋体"/>
                <w:i w:val="0"/>
                <w:iCs w:val="0"/>
                <w:sz w:val="19"/>
                <w:szCs w:val="19"/>
                <w:u w:val="none"/>
              </w:rPr>
              <w:t>行政事业性收费</w:t>
            </w:r>
          </w:p>
        </w:tc>
        <w:tc>
          <w:tcPr>
            <w:tcW w:w="5070" w:type="dxa"/>
            <w:gridSpan w:val="3"/>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21"/>
                <w:szCs w:val="21"/>
                <w:u w:val="none"/>
              </w:rPr>
              <w:t>0</w:t>
            </w:r>
          </w:p>
        </w:tc>
      </w:tr>
    </w:tbl>
    <w:p>
      <w:pPr>
        <w:pStyle w:val="2"/>
        <w:keepNext w:val="0"/>
        <w:keepLines w:val="0"/>
        <w:widowControl/>
        <w:suppressLineNumbers w:val="0"/>
        <w:spacing w:before="150" w:beforeAutospacing="0" w:after="150" w:afterAutospacing="0" w:line="555" w:lineRule="atLeast"/>
        <w:ind w:left="0" w:right="0" w:firstLine="645"/>
      </w:pPr>
      <w:r>
        <w:rPr>
          <w:rFonts w:hint="eastAsia" w:ascii="黑体" w:hAnsi="宋体" w:eastAsia="黑体" w:cs="黑体"/>
          <w:i w:val="0"/>
          <w:iCs w:val="0"/>
          <w:sz w:val="31"/>
          <w:szCs w:val="31"/>
          <w:u w:val="none"/>
        </w:rPr>
        <w:t>三、收到和处理政府信息公开申请情况</w:t>
      </w:r>
    </w:p>
    <w:tbl>
      <w:tblPr>
        <w:tblStyle w:val="3"/>
        <w:tblW w:w="9135" w:type="dxa"/>
        <w:tblCellSpacing w:w="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3"/>
        <w:gridCol w:w="881"/>
        <w:gridCol w:w="2294"/>
        <w:gridCol w:w="863"/>
        <w:gridCol w:w="657"/>
        <w:gridCol w:w="643"/>
        <w:gridCol w:w="877"/>
        <w:gridCol w:w="877"/>
        <w:gridCol w:w="684"/>
        <w:gridCol w:w="686"/>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blCellSpacing w:w="15" w:type="dxa"/>
        </w:trPr>
        <w:tc>
          <w:tcPr>
            <w:tcW w:w="3900" w:type="dxa"/>
            <w:gridSpan w:val="3"/>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（本列数据的勾稽关系为：第一项加第二项之和，等于第三项加第四项之和）</w:t>
            </w:r>
          </w:p>
        </w:tc>
        <w:tc>
          <w:tcPr>
            <w:tcW w:w="5250" w:type="dxa"/>
            <w:gridSpan w:val="7"/>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申请人情况</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60" w:hRule="atLeast"/>
          <w:tblCellSpacing w:w="15" w:type="dxa"/>
        </w:trPr>
        <w:tc>
          <w:tcPr>
            <w:tcW w:w="3900"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70"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自然</w:t>
            </w:r>
            <w:bookmarkStart w:id="0" w:name="_GoBack"/>
            <w:bookmarkEnd w:id="0"/>
            <w:r>
              <w:rPr>
                <w:rFonts w:hint="eastAsia" w:ascii="宋体" w:hAnsi="宋体" w:eastAsia="宋体" w:cs="宋体"/>
                <w:i w:val="0"/>
                <w:iCs w:val="0"/>
                <w:sz w:val="19"/>
                <w:szCs w:val="19"/>
                <w:u w:val="none"/>
              </w:rPr>
              <w:t>人</w:t>
            </w:r>
          </w:p>
        </w:tc>
        <w:tc>
          <w:tcPr>
            <w:tcW w:w="3720" w:type="dxa"/>
            <w:gridSpan w:val="5"/>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法人或其他组织</w:t>
            </w:r>
          </w:p>
        </w:tc>
        <w:tc>
          <w:tcPr>
            <w:tcW w:w="660"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总计</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915" w:hRule="atLeast"/>
          <w:tblCellSpacing w:w="15" w:type="dxa"/>
        </w:trPr>
        <w:tc>
          <w:tcPr>
            <w:tcW w:w="3900"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7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商业企业</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科研机构</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社会公益组织</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法律服务机构</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其他</w:t>
            </w:r>
          </w:p>
        </w:tc>
        <w:tc>
          <w:tcPr>
            <w:tcW w:w="66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blCellSpacing w:w="15" w:type="dxa"/>
        </w:trPr>
        <w:tc>
          <w:tcPr>
            <w:tcW w:w="3900" w:type="dxa"/>
            <w:gridSpan w:val="3"/>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宋体" w:hAnsi="宋体" w:eastAsia="宋体" w:cs="宋体"/>
                <w:i w:val="0"/>
                <w:iCs w:val="0"/>
                <w:sz w:val="19"/>
                <w:szCs w:val="19"/>
                <w:u w:val="none"/>
              </w:rPr>
              <w:t>一、本年新收政府信息公开申请数量</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blCellSpacing w:w="15" w:type="dxa"/>
        </w:trPr>
        <w:tc>
          <w:tcPr>
            <w:tcW w:w="3900" w:type="dxa"/>
            <w:gridSpan w:val="3"/>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宋体" w:hAnsi="宋体" w:eastAsia="宋体" w:cs="宋体"/>
                <w:i w:val="0"/>
                <w:iCs w:val="0"/>
                <w:sz w:val="19"/>
                <w:szCs w:val="19"/>
                <w:u w:val="none"/>
              </w:rPr>
              <w:t>二、上年结转政府信息公开申请数量</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60" w:hRule="atLeast"/>
          <w:tblCellSpacing w:w="15" w:type="dxa"/>
        </w:trPr>
        <w:tc>
          <w:tcPr>
            <w:tcW w:w="630"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三、本年度办理结果</w:t>
            </w:r>
          </w:p>
        </w:tc>
        <w:tc>
          <w:tcPr>
            <w:tcW w:w="3270" w:type="dxa"/>
            <w:gridSpan w:val="2"/>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ascii="楷体" w:hAnsi="楷体" w:eastAsia="楷体" w:cs="楷体"/>
                <w:i w:val="0"/>
                <w:iCs w:val="0"/>
                <w:sz w:val="19"/>
                <w:szCs w:val="19"/>
                <w:u w:val="none"/>
              </w:rPr>
              <w:t>（一）予以公开</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915"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3270" w:type="dxa"/>
            <w:gridSpan w:val="2"/>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（二）部分公开（区分处理的，只计这一情形，不计其他情形）</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60"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（三）不予公开</w:t>
            </w: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1.属于国家</w:t>
            </w:r>
            <w:r>
              <w:rPr>
                <w:sz w:val="19"/>
                <w:szCs w:val="19"/>
              </w:rPr>
              <w:t>秘密</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915"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2.其他法律行政法规禁止公开</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3.危及“三安全一稳定”</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60"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4.保护第三方合法权益</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5.属于三类内部事务信息</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60"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6.属于四类过程性信息</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60"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7.属于行政执法案卷</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60"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8.属于行政查询事项</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915"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（四）无法提供</w:t>
            </w: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1.本机关不掌握相关政府信息</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2.没有现成信息需要另行制作</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3.补正后申请内容仍不明确</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 </w:t>
            </w:r>
          </w:p>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（五）不予处理</w:t>
            </w: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1.</w:t>
            </w:r>
            <w:r>
              <w:rPr>
                <w:sz w:val="19"/>
                <w:szCs w:val="19"/>
              </w:rPr>
              <w:t>信访</w:t>
            </w:r>
            <w:r>
              <w:rPr>
                <w:rFonts w:hint="eastAsia" w:ascii="楷体" w:hAnsi="楷体" w:eastAsia="楷体" w:cs="楷体"/>
                <w:i w:val="0"/>
                <w:iCs w:val="0"/>
                <w:sz w:val="19"/>
                <w:szCs w:val="19"/>
                <w:u w:val="none"/>
              </w:rPr>
              <w:t>举报投诉类申请</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2.重复申请</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3.要求提供公开出版物</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4.无正当理由大量反复申请</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5.要求行政机关确认或重新出具已获取信息</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515"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（六）其他处理</w:t>
            </w: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1.申请人无正当理由逾期不补正、行政机关不再处理其政府信息公开申请</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350"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2.申请人逾期未按收费通知要求缴纳费用、行政机关不再处理其政府信息公开申请</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915"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24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3.其他</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19"/>
                <w:szCs w:val="19"/>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blCellSpacing w:w="15" w:type="dxa"/>
        </w:trPr>
        <w:tc>
          <w:tcPr>
            <w:tcW w:w="63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3270" w:type="dxa"/>
            <w:gridSpan w:val="2"/>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楷体" w:hAnsi="楷体" w:eastAsia="楷体" w:cs="楷体"/>
                <w:i w:val="0"/>
                <w:iCs w:val="0"/>
                <w:sz w:val="19"/>
                <w:szCs w:val="19"/>
                <w:u w:val="none"/>
              </w:rPr>
              <w:t>（七）总计</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945" w:hRule="atLeast"/>
          <w:tblCellSpacing w:w="15" w:type="dxa"/>
        </w:trPr>
        <w:tc>
          <w:tcPr>
            <w:tcW w:w="3900" w:type="dxa"/>
            <w:gridSpan w:val="3"/>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pPr>
            <w:r>
              <w:rPr>
                <w:rFonts w:hint="eastAsia" w:ascii="宋体" w:hAnsi="宋体" w:eastAsia="宋体" w:cs="宋体"/>
                <w:i w:val="0"/>
                <w:iCs w:val="0"/>
                <w:sz w:val="19"/>
                <w:szCs w:val="19"/>
                <w:u w:val="none"/>
              </w:rPr>
              <w:t>四、结转下年度继续办理</w:t>
            </w:r>
          </w:p>
        </w:tc>
        <w:tc>
          <w:tcPr>
            <w:tcW w:w="87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4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8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6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r>
    </w:tbl>
    <w:p>
      <w:pPr>
        <w:pStyle w:val="2"/>
        <w:keepNext w:val="0"/>
        <w:keepLines w:val="0"/>
        <w:widowControl/>
        <w:suppressLineNumbers w:val="0"/>
        <w:spacing w:before="150" w:beforeAutospacing="0" w:after="150" w:afterAutospacing="0" w:line="555" w:lineRule="atLeast"/>
        <w:ind w:left="0" w:right="0" w:firstLine="645"/>
      </w:pPr>
      <w:r>
        <w:rPr>
          <w:rFonts w:hint="eastAsia" w:ascii="黑体" w:hAnsi="宋体" w:eastAsia="黑体" w:cs="黑体"/>
          <w:i w:val="0"/>
          <w:iCs w:val="0"/>
          <w:sz w:val="31"/>
          <w:szCs w:val="31"/>
          <w:u w:val="none"/>
        </w:rPr>
        <w:t>四、政府信息公开行政复议、行政诉讼情况</w:t>
      </w:r>
    </w:p>
    <w:tbl>
      <w:tblPr>
        <w:tblStyle w:val="3"/>
        <w:tblW w:w="9165" w:type="dxa"/>
        <w:tblCellSpacing w:w="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8"/>
        <w:gridCol w:w="563"/>
        <w:gridCol w:w="588"/>
        <w:gridCol w:w="612"/>
        <w:gridCol w:w="711"/>
        <w:gridCol w:w="563"/>
        <w:gridCol w:w="612"/>
        <w:gridCol w:w="612"/>
        <w:gridCol w:w="612"/>
        <w:gridCol w:w="625"/>
        <w:gridCol w:w="612"/>
        <w:gridCol w:w="612"/>
        <w:gridCol w:w="612"/>
        <w:gridCol w:w="526"/>
        <w:gridCol w:w="727"/>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blCellSpacing w:w="15" w:type="dxa"/>
        </w:trPr>
        <w:tc>
          <w:tcPr>
            <w:tcW w:w="3045" w:type="dxa"/>
            <w:gridSpan w:val="5"/>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行政复议</w:t>
            </w:r>
          </w:p>
        </w:tc>
        <w:tc>
          <w:tcPr>
            <w:tcW w:w="6120" w:type="dxa"/>
            <w:gridSpan w:val="10"/>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行政诉讼</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555" w:hRule="atLeast"/>
          <w:tblCellSpacing w:w="15" w:type="dxa"/>
        </w:trPr>
        <w:tc>
          <w:tcPr>
            <w:tcW w:w="555"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结果维持</w:t>
            </w:r>
          </w:p>
        </w:tc>
        <w:tc>
          <w:tcPr>
            <w:tcW w:w="555"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结果纠正</w:t>
            </w:r>
          </w:p>
        </w:tc>
        <w:tc>
          <w:tcPr>
            <w:tcW w:w="585"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其他结果</w:t>
            </w:r>
          </w:p>
        </w:tc>
        <w:tc>
          <w:tcPr>
            <w:tcW w:w="615"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尚未审结</w:t>
            </w:r>
          </w:p>
        </w:tc>
        <w:tc>
          <w:tcPr>
            <w:tcW w:w="735"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总计</w:t>
            </w:r>
          </w:p>
        </w:tc>
        <w:tc>
          <w:tcPr>
            <w:tcW w:w="3030" w:type="dxa"/>
            <w:gridSpan w:val="5"/>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未经复议直接起诉</w:t>
            </w:r>
          </w:p>
        </w:tc>
        <w:tc>
          <w:tcPr>
            <w:tcW w:w="3090" w:type="dxa"/>
            <w:gridSpan w:val="5"/>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复议后起诉</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blCellSpacing w:w="15" w:type="dxa"/>
        </w:trPr>
        <w:tc>
          <w:tcPr>
            <w:tcW w:w="5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5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58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61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73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iCs w:val="0"/>
                <w:sz w:val="24"/>
                <w:szCs w:val="24"/>
                <w:u w:val="none"/>
              </w:rPr>
            </w:pPr>
          </w:p>
        </w:tc>
        <w:tc>
          <w:tcPr>
            <w:tcW w:w="55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结果维持</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结果纠正</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其他结果</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尚未审结</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总计</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结果维持</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结果纠正</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其他结果</w:t>
            </w:r>
          </w:p>
        </w:tc>
        <w:tc>
          <w:tcPr>
            <w:tcW w:w="51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尚未审结</w:t>
            </w:r>
          </w:p>
        </w:tc>
        <w:tc>
          <w:tcPr>
            <w:tcW w:w="7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after="180" w:afterAutospacing="0"/>
              <w:ind w:left="0" w:right="0"/>
              <w:jc w:val="center"/>
            </w:pPr>
            <w:r>
              <w:rPr>
                <w:rFonts w:hint="eastAsia" w:ascii="宋体" w:hAnsi="宋体" w:eastAsia="宋体" w:cs="宋体"/>
                <w:i w:val="0"/>
                <w:iCs w:val="0"/>
                <w:sz w:val="19"/>
                <w:szCs w:val="19"/>
                <w:u w:val="none"/>
              </w:rPr>
              <w:t>总计</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blCellSpacing w:w="15" w:type="dxa"/>
        </w:trPr>
        <w:tc>
          <w:tcPr>
            <w:tcW w:w="55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55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58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7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55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51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before="0" w:beforeAutospacing="0" w:line="360" w:lineRule="auto"/>
              <w:ind w:left="0" w:right="0"/>
              <w:jc w:val="center"/>
            </w:pPr>
            <w:r>
              <w:rPr>
                <w:rFonts w:hint="eastAsia" w:ascii="宋体" w:hAnsi="宋体" w:eastAsia="宋体" w:cs="宋体"/>
                <w:i w:val="0"/>
                <w:iCs w:val="0"/>
                <w:sz w:val="21"/>
                <w:szCs w:val="21"/>
                <w:u w:val="none"/>
              </w:rPr>
              <w:t>0</w:t>
            </w:r>
          </w:p>
        </w:tc>
        <w:tc>
          <w:tcPr>
            <w:tcW w:w="73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2"/>
              <w:keepNext w:val="0"/>
              <w:keepLines w:val="0"/>
              <w:widowControl/>
              <w:suppressLineNumbers w:val="0"/>
              <w:spacing w:line="360" w:lineRule="auto"/>
              <w:jc w:val="center"/>
            </w:pPr>
            <w:r>
              <w:rPr>
                <w:rFonts w:hint="eastAsia" w:ascii="宋体" w:hAnsi="宋体" w:eastAsia="宋体" w:cs="宋体"/>
                <w:i w:val="0"/>
                <w:iCs w:val="0"/>
                <w:sz w:val="24"/>
                <w:szCs w:val="24"/>
                <w:u w:val="none"/>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pPr>
      <w:r>
        <w:rPr>
          <w:rStyle w:val="5"/>
          <w:rFonts w:hint="eastAsia" w:ascii="宋体" w:hAnsi="宋体" w:eastAsia="宋体" w:cs="宋体"/>
          <w:i w:val="0"/>
          <w:iCs w:val="0"/>
          <w:color w:val="333333"/>
          <w:spacing w:val="0"/>
          <w:sz w:val="31"/>
          <w:szCs w:val="31"/>
          <w:u w:val="none"/>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645"/>
      </w:pPr>
      <w:r>
        <w:rPr>
          <w:rFonts w:hint="eastAsia" w:ascii="仿宋_GB2312" w:eastAsia="仿宋_GB2312" w:cs="仿宋_GB2312"/>
          <w:i w:val="0"/>
          <w:iCs w:val="0"/>
          <w:color w:val="333333"/>
          <w:sz w:val="31"/>
          <w:szCs w:val="31"/>
          <w:u w:val="none"/>
          <w:shd w:val="clear" w:fill="FFFFFF"/>
          <w:lang w:eastAsia="zh-CN"/>
        </w:rPr>
        <w:t>2023</w:t>
      </w:r>
      <w:r>
        <w:rPr>
          <w:rFonts w:hint="eastAsia" w:ascii="仿宋_GB2312" w:hAnsi="微软雅黑" w:eastAsia="仿宋_GB2312" w:cs="仿宋_GB2312"/>
          <w:i w:val="0"/>
          <w:iCs w:val="0"/>
          <w:color w:val="333333"/>
          <w:sz w:val="31"/>
          <w:szCs w:val="31"/>
          <w:u w:val="none"/>
          <w:shd w:val="clear" w:fill="FFFFFF"/>
        </w:rPr>
        <w:t>年度我局存在的问题:一是专业人员配备不足；二是政策解读不足，有待进一步丰富；三是政府信息公开发布量还有待提高。我们将在2023年的工作中继续加以改进:一是进一步提高责任意识。认真落实《条例》，进一步强化责任意识，完善制度和程序，加大政务主动公开力度，做好科学解读，回应社会关切和公众期盼。认真梳理局属单位（科室）所掌握的政府信息，及时提供，确保政府信息公开工作能按照既定的工作流程有效运作，使公众能够方便查询。二是主动加强与新闻媒体的合作，丰富政策解读形式，进一步提高政务公开工作水平。三是进一步加强信息平台建设。完善门户网站建设，做好信息分类梳理，适时修订完善政务公开制度，为开展好政务公开工作提供制度保障。充分发挥法律顾问作用。加强对政府信息公开政策法规的学习培训，不断加大业务能力提升培训，进一步提高相关人员的业务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both"/>
      </w:pPr>
      <w:r>
        <w:rPr>
          <w:rStyle w:val="5"/>
          <w:rFonts w:hint="eastAsia" w:ascii="宋体" w:hAnsi="宋体" w:eastAsia="宋体" w:cs="宋体"/>
          <w:i w:val="0"/>
          <w:iCs w:val="0"/>
          <w:color w:val="333333"/>
          <w:spacing w:val="0"/>
          <w:sz w:val="31"/>
          <w:szCs w:val="31"/>
          <w:u w:val="none"/>
          <w:shd w:val="clear" w:fill="FFFFFF"/>
        </w:rPr>
        <w:t>六、其他需要报告的事项</w:t>
      </w:r>
    </w:p>
    <w:p>
      <w:pPr>
        <w:pStyle w:val="2"/>
        <w:keepNext w:val="0"/>
        <w:keepLines w:val="0"/>
        <w:widowControl/>
        <w:suppressLineNumbers w:val="0"/>
        <w:spacing w:before="0" w:beforeAutospacing="0" w:after="496" w:afterAutospacing="0"/>
        <w:ind w:left="0" w:right="0"/>
      </w:pPr>
      <w:r>
        <w:t>　　</w:t>
      </w:r>
      <w:r>
        <w:rPr>
          <w:rFonts w:hint="eastAsia" w:ascii="仿宋_GB2312" w:eastAsia="仿宋_GB2312" w:cs="仿宋_GB2312"/>
          <w:i w:val="0"/>
          <w:iCs w:val="0"/>
          <w:color w:val="333333"/>
          <w:sz w:val="31"/>
          <w:szCs w:val="31"/>
          <w:u w:val="none"/>
          <w:shd w:val="clear" w:fill="FFFFFF"/>
          <w:lang w:eastAsia="zh-CN"/>
        </w:rPr>
        <w:t>2023</w:t>
      </w:r>
      <w:r>
        <w:rPr>
          <w:rFonts w:hint="eastAsia" w:ascii="仿宋_GB2312" w:hAnsi="微软雅黑" w:eastAsia="仿宋_GB2312" w:cs="仿宋_GB2312"/>
          <w:i w:val="0"/>
          <w:iCs w:val="0"/>
          <w:color w:val="333333"/>
          <w:sz w:val="31"/>
          <w:szCs w:val="31"/>
          <w:u w:val="none"/>
          <w:shd w:val="clear" w:fill="FFFFFF"/>
        </w:rPr>
        <w:t>年，认真贯彻执行国务院办公厅《政府信息公开信息处理费管理办法》，按照《河北省财政厅河北省发展和改革委员会关于政府信息公开信息处理费管理有关事项的通知》规定，</w:t>
      </w:r>
      <w:r>
        <w:rPr>
          <w:rFonts w:hint="eastAsia" w:ascii="仿宋_GB2312" w:eastAsia="仿宋_GB2312" w:cs="仿宋_GB2312"/>
          <w:i w:val="0"/>
          <w:iCs w:val="0"/>
          <w:color w:val="333333"/>
          <w:sz w:val="31"/>
          <w:szCs w:val="31"/>
          <w:u w:val="none"/>
          <w:shd w:val="clear" w:fill="FFFFFF"/>
          <w:lang w:eastAsia="zh-CN"/>
        </w:rPr>
        <w:t>2023</w:t>
      </w:r>
      <w:r>
        <w:rPr>
          <w:rFonts w:hint="eastAsia" w:ascii="仿宋_GB2312" w:hAnsi="微软雅黑" w:eastAsia="仿宋_GB2312" w:cs="仿宋_GB2312"/>
          <w:i w:val="0"/>
          <w:iCs w:val="0"/>
          <w:color w:val="333333"/>
          <w:sz w:val="31"/>
          <w:szCs w:val="31"/>
          <w:u w:val="none"/>
          <w:shd w:val="clear" w:fill="FFFFFF"/>
        </w:rPr>
        <w:t>年未收取信息处理费。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NTZhOWQxMDIwZjAzMmEyNjZhODVlMzc5NjQxYmQifQ=="/>
  </w:docVars>
  <w:rsids>
    <w:rsidRoot w:val="00000000"/>
    <w:rsid w:val="091A5787"/>
    <w:rsid w:val="18316649"/>
    <w:rsid w:val="29A924E3"/>
    <w:rsid w:val="362D624A"/>
    <w:rsid w:val="38C10B6A"/>
    <w:rsid w:val="46CD3CB7"/>
    <w:rsid w:val="47673E30"/>
    <w:rsid w:val="4AA20B5D"/>
    <w:rsid w:val="4CA21813"/>
    <w:rsid w:val="4DB90697"/>
    <w:rsid w:val="4EC05A55"/>
    <w:rsid w:val="5CB70498"/>
    <w:rsid w:val="5DB744C7"/>
    <w:rsid w:val="6AE0505D"/>
    <w:rsid w:val="703D6AAE"/>
    <w:rsid w:val="792E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u w:val="none"/>
      <w:lang w:val="en-US" w:eastAsia="zh-CN" w:bidi="ar"/>
    </w:rPr>
  </w:style>
  <w:style w:type="character" w:styleId="5">
    <w:name w:val="Strong"/>
    <w:basedOn w:val="4"/>
    <w:qFormat/>
    <w:uiPriority w:val="0"/>
    <w:rPr>
      <w:b/>
    </w:rPr>
  </w:style>
  <w:style w:type="character" w:styleId="6">
    <w:name w:val="FollowedHyperlink"/>
    <w:basedOn w:val="4"/>
    <w:autoRedefine/>
    <w:qFormat/>
    <w:uiPriority w:val="0"/>
    <w:rPr>
      <w:rFonts w:hint="eastAsia" w:ascii="微软雅黑" w:hAnsi="微软雅黑" w:eastAsia="微软雅黑" w:cs="微软雅黑"/>
      <w:color w:val="800080"/>
      <w:u w:val="none"/>
    </w:rPr>
  </w:style>
  <w:style w:type="character" w:styleId="7">
    <w:name w:val="Emphasis"/>
    <w:basedOn w:val="4"/>
    <w:autoRedefine/>
    <w:qFormat/>
    <w:uiPriority w:val="0"/>
    <w:rPr>
      <w:rFonts w:ascii="微软雅黑" w:hAnsi="微软雅黑" w:eastAsia="微软雅黑" w:cs="微软雅黑"/>
      <w:u w:val="none"/>
    </w:rPr>
  </w:style>
  <w:style w:type="character" w:styleId="8">
    <w:name w:val="Hyperlink"/>
    <w:basedOn w:val="4"/>
    <w:autoRedefine/>
    <w:qFormat/>
    <w:uiPriority w:val="0"/>
    <w:rPr>
      <w:rFonts w:hint="eastAsia" w:ascii="微软雅黑" w:hAnsi="微软雅黑" w:eastAsia="微软雅黑" w:cs="微软雅黑"/>
      <w:color w:val="0000FF"/>
      <w:u w:val="none"/>
    </w:rPr>
  </w:style>
  <w:style w:type="character" w:customStyle="1" w:styleId="9">
    <w:name w:val="hover10"/>
    <w:basedOn w:val="4"/>
    <w:autoRedefine/>
    <w:qFormat/>
    <w:uiPriority w:val="0"/>
    <w:rPr>
      <w:color w:val="BE0402"/>
    </w:rPr>
  </w:style>
  <w:style w:type="character" w:customStyle="1" w:styleId="10">
    <w:name w:val="curr"/>
    <w:basedOn w:val="4"/>
    <w:autoRedefine/>
    <w:qFormat/>
    <w:uiPriority w:val="0"/>
    <w:rPr>
      <w:color w:val="FFFFFF"/>
      <w:shd w:val="clear" w:fill="BE040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1946</Words>
  <Characters>1996</Characters>
  <Lines>0</Lines>
  <Paragraphs>0</Paragraphs>
  <TotalTime>112</TotalTime>
  <ScaleCrop>false</ScaleCrop>
  <LinksUpToDate>false</LinksUpToDate>
  <CharactersWithSpaces>2004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2024-01-24T01:04:00Z</dcterms:created>
  <dc:creator>LENOVO</dc:creator>
  <cp:lastModifiedBy>_深ο乎ロ及～</cp:lastModifiedBy>
  <dcterms:modified xsi:type="dcterms:W3CDTF">2024-01-25T01:30:47Z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806B7910ADC047BEA30E3A516921E61F_12</vt:lpwstr>
  </property>
</Properties>
</file>