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sz w:val="44"/>
          <w:szCs w:val="44"/>
        </w:rPr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sz w:val="44"/>
          <w:szCs w:val="44"/>
          <w:u w:val="none"/>
          <w:bdr w:val="none" w:color="auto" w:sz="0" w:space="0"/>
        </w:rPr>
        <w:t>南宫市住房和城乡建设局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rPr>
          <w:sz w:val="44"/>
          <w:szCs w:val="44"/>
        </w:rPr>
      </w:pPr>
      <w:r>
        <w:rPr>
          <w:rStyle w:val="5"/>
          <w:rFonts w:hint="eastAsia" w:ascii="宋体" w:hAnsi="宋体" w:eastAsia="宋体" w:cs="宋体"/>
          <w:b/>
          <w:bCs/>
          <w:i w:val="0"/>
          <w:iCs w:val="0"/>
          <w:sz w:val="44"/>
          <w:szCs w:val="44"/>
          <w:u w:val="none"/>
          <w:bdr w:val="none" w:color="auto" w:sz="0" w:space="0"/>
        </w:rPr>
        <w:t>2023年政府信息公开工作年度报告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</w:pPr>
      <w:r>
        <w:rPr>
          <w:rFonts w:hint="eastAsia" w:ascii="宋体" w:hAnsi="宋体" w:eastAsia="宋体" w:cs="宋体"/>
          <w:i w:val="0"/>
          <w:iCs w:val="0"/>
          <w:sz w:val="31"/>
          <w:szCs w:val="31"/>
          <w:u w:val="none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 w:line="555" w:lineRule="atLeast"/>
        <w:ind w:left="0" w:right="0" w:firstLine="64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  <w:bdr w:val="none" w:color="auto" w:sz="0" w:space="0"/>
        </w:rPr>
        <w:t>根据《中华人民共和国政府信息公开条例》《河北省实施〈中华人民共和国政府信息公开条例〉办法》等规定，发布住建局本年度报告。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rPr>
          <w:sz w:val="32"/>
          <w:szCs w:val="32"/>
        </w:rPr>
      </w:pPr>
      <w:r>
        <w:rPr>
          <w:rFonts w:ascii="黑体" w:hAnsi="宋体" w:eastAsia="黑体" w:cs="黑体"/>
          <w:i w:val="0"/>
          <w:iCs w:val="0"/>
          <w:sz w:val="32"/>
          <w:szCs w:val="32"/>
          <w:u w:val="none"/>
          <w:bdr w:val="none" w:color="auto" w:sz="0" w:space="0"/>
        </w:rPr>
        <w:t>一、总体情况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  <w:bdr w:val="none" w:color="auto" w:sz="0" w:space="0"/>
        </w:rPr>
        <w:t>2023年，我局继续坚持把公开透明作为信息工作的基本制度，以保障人民群众知情、参与和监督为目标，按照《关于政府信息公开工作年度报告有关事项的通知》要求，紧紧围绕建设服务型政府，提高服务质量，结合工作实际，进一步健全完善政府信息公开制度和工作机制，拓展公开渠道，深化公开内容，提高服务水平，为建筑领域、生活和经济社会活动提供了高效、快捷的信息公开服务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rPr>
          <w:rFonts w:hint="eastAsia" w:ascii="楷体" w:hAnsi="楷体" w:eastAsia="楷体" w:cs="楷体"/>
          <w:sz w:val="32"/>
          <w:szCs w:val="32"/>
        </w:rPr>
      </w:pPr>
      <w:r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  <w:bdr w:val="none" w:color="auto" w:sz="0" w:space="0"/>
        </w:rPr>
        <w:t>1.主动公开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  <w:bdr w:val="none" w:color="auto" w:sz="0" w:space="0"/>
        </w:rPr>
        <w:t>2023年累计公开政府信息共计218条，涉及公告公示、行政许可、行政处罚等板块：其中机构职能类信息1件，工作部署9件，公告公示134件，行政处罚类21件、行政许可类40件，人大建议7件，政协提案6件，按时办结率、答复率均达到了100%。2023年无主动公开政策解读文件，2023年，我局就建筑领域扬尘、房屋安全、农村危房改造等社会关注度高的行业，及时通过网站、局机关宣传栏等平台发布政策出台、重要活动等信息，并及时回应，主动公开行政服务事项清单，依法公开权力运行流程图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</w:pPr>
      <w:r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  <w:t>2</w:t>
      </w:r>
      <w:r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  <w:t>.依申请公开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  <w:bdr w:val="none" w:color="auto" w:sz="0" w:space="0"/>
        </w:rPr>
        <w:t>在政府信息公开平台开设“依申请公开”栏目，公开畅通网络、信函、当面申请等渠道，并详细列明各申请途径的具体接收方式。同时，及时、规范办理依申请公开事项，对于属于公开范围的，向申请人提供该政府信息；不属于公开范围的，告知不公开理由、依据和救济渠道；不属于我局公开的或信息不存在的，能够确定该信息公开机关的，告知该机关的联系方式和名称；申请内容不明确的，告知申请人作出变更、补充。2023年受理并答复依申请公开事项3件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</w:pPr>
      <w:r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  <w:t>3.政府信息管理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  <w:t>印发《关于进一步规范市政府文件信息公开审查的通知》，认真落实政府信息公开工作领导责任制，成立政务公开工作领导小组，明确相关责任，领导小组下设办公室，负责政务公开的相关事务。强化“主要领导带头抓，分管领导具体抓，专责人员抓落实”的工作体系，促进政府信息公开常态化、规范化、制度化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</w:pPr>
      <w:r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  <w:t>4.政府信息公开平台建设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  <w:t>按照政府网站发展要求，规范住建的各项目公开内容，方便公众查阅监督，发挥信息平台的作用，同时公布保障性住房领域、国有土地房屋征收和补偿领域、重大项目建设招投标领域等信息，方便群众查阅和监督，并逐步提升政务信息服务水平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</w:pPr>
      <w:r>
        <w:rPr>
          <w:rStyle w:val="5"/>
          <w:rFonts w:hint="eastAsia" w:ascii="楷体" w:hAnsi="楷体" w:eastAsia="楷体" w:cs="楷体"/>
          <w:b/>
          <w:bCs/>
          <w:i w:val="0"/>
          <w:iCs w:val="0"/>
          <w:sz w:val="32"/>
          <w:szCs w:val="32"/>
          <w:u w:val="none"/>
        </w:rPr>
        <w:t>5.监督保障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  <w:t>严格执行信息公开发布审核机制、保密审查机制和依法公开机制，抓好政策解读学习宣传贯彻和培训，全面提升依法推进政务公开的能力和水平。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rPr>
          <w:sz w:val="32"/>
          <w:szCs w:val="32"/>
        </w:rPr>
      </w:pPr>
      <w:r>
        <w:rPr>
          <w:rFonts w:hint="eastAsia" w:ascii="黑体" w:hAnsi="宋体" w:eastAsia="黑体" w:cs="黑体"/>
          <w:i w:val="0"/>
          <w:iCs w:val="0"/>
          <w:color w:val="333333"/>
          <w:sz w:val="32"/>
          <w:szCs w:val="32"/>
          <w:u w:val="none"/>
          <w:bdr w:val="none" w:color="auto" w:sz="0" w:space="0"/>
          <w:shd w:val="clear" w:fill="FFFFFF"/>
        </w:rPr>
        <w:t>二、主动公开政府信息情况</w:t>
      </w:r>
    </w:p>
    <w:tbl>
      <w:tblPr>
        <w:tblW w:w="8145" w:type="dxa"/>
        <w:tblCellSpacing w:w="15" w:type="dxa"/>
        <w:tblInd w:w="0" w:type="dxa"/>
        <w:tblBorders>
          <w:top w:val="single" w:color="666666" w:sz="6" w:space="0"/>
          <w:left w:val="single" w:color="666666" w:sz="6" w:space="0"/>
          <w:bottom w:val="single" w:color="666666" w:sz="6" w:space="0"/>
          <w:right w:val="single" w:color="666666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102"/>
        <w:gridCol w:w="1871"/>
        <w:gridCol w:w="1285"/>
        <w:gridCol w:w="1887"/>
      </w:tblGrid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tblCellSpacing w:w="15" w:type="dxa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C6D9F1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第二十条第（一）项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信息内容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本年新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制作数量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本年新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公开数量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对外公开总数量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规章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规范性文件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12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18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</w:tblPrEx>
        <w:trPr>
          <w:trHeight w:val="480" w:hRule="atLeast"/>
          <w:tblCellSpacing w:w="15" w:type="dxa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C6D9F1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第二十条第（五）项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信息内容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本年处理决定数量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行政许可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40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其他对外管理服务事项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tblCellSpacing w:w="15" w:type="dxa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C6D9F1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第二十条第（六）项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信息内容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本年处理决定数量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行政处罚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21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行政强制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tblCellSpacing w:w="15" w:type="dxa"/>
        </w:trPr>
        <w:tc>
          <w:tcPr>
            <w:tcW w:w="8145" w:type="dxa"/>
            <w:gridSpan w:val="4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 w:color="auto" w:fill="C6D9F1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第二十条第（八）项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信息内容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本年收费金额（单元：万元）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5" w:hRule="atLeast"/>
          <w:tblCellSpacing w:w="15" w:type="dxa"/>
        </w:trPr>
        <w:tc>
          <w:tcPr>
            <w:tcW w:w="312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行政事业性收费</w:t>
            </w:r>
          </w:p>
        </w:tc>
        <w:tc>
          <w:tcPr>
            <w:tcW w:w="502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黑体" w:hAnsi="宋体" w:eastAsia="黑体" w:cs="黑体"/>
          <w:i w:val="0"/>
          <w:iCs w:val="0"/>
          <w:color w:val="333333"/>
          <w:sz w:val="32"/>
          <w:szCs w:val="32"/>
          <w:u w:val="none"/>
          <w:shd w:val="clear" w:fill="FFFFFF"/>
        </w:rPr>
      </w:pPr>
      <w:r>
        <w:rPr>
          <w:rFonts w:hint="eastAsia" w:ascii="黑体" w:hAnsi="宋体" w:eastAsia="黑体" w:cs="黑体"/>
          <w:i w:val="0"/>
          <w:iCs w:val="0"/>
          <w:color w:val="333333"/>
          <w:sz w:val="32"/>
          <w:szCs w:val="32"/>
          <w:u w:val="none"/>
          <w:shd w:val="clear" w:fill="FFFFFF"/>
        </w:rPr>
        <w:t>三、收到和处理政府信息公开申请情况</w:t>
      </w:r>
    </w:p>
    <w:tbl>
      <w:tblPr>
        <w:tblW w:w="9075" w:type="dxa"/>
        <w:tblCellSpacing w:w="15" w:type="dxa"/>
        <w:tblInd w:w="0" w:type="dxa"/>
        <w:tblBorders>
          <w:top w:val="single" w:color="666666" w:sz="6" w:space="0"/>
          <w:left w:val="single" w:color="666666" w:sz="6" w:space="0"/>
          <w:bottom w:val="single" w:color="666666" w:sz="6" w:space="0"/>
          <w:right w:val="single" w:color="666666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65"/>
        <w:gridCol w:w="881"/>
        <w:gridCol w:w="2003"/>
        <w:gridCol w:w="811"/>
        <w:gridCol w:w="756"/>
        <w:gridCol w:w="756"/>
        <w:gridCol w:w="811"/>
        <w:gridCol w:w="963"/>
        <w:gridCol w:w="714"/>
        <w:gridCol w:w="715"/>
      </w:tblGrid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3555" w:type="dxa"/>
            <w:gridSpan w:val="3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（本列数据的勾稽关系为：第一项加第二项之和，等于第三项加第四项之和）</w:t>
            </w:r>
          </w:p>
        </w:tc>
        <w:tc>
          <w:tcPr>
            <w:tcW w:w="5520" w:type="dxa"/>
            <w:gridSpan w:val="7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申请人情况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3555" w:type="dxa"/>
            <w:gridSpan w:val="3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自然人</w:t>
            </w:r>
          </w:p>
        </w:tc>
        <w:tc>
          <w:tcPr>
            <w:tcW w:w="4005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法人或其他组织</w:t>
            </w:r>
          </w:p>
        </w:tc>
        <w:tc>
          <w:tcPr>
            <w:tcW w:w="69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总计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3555" w:type="dxa"/>
            <w:gridSpan w:val="3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商业企业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科研机构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社会公益组织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法律服务机构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其他</w:t>
            </w:r>
          </w:p>
        </w:tc>
        <w:tc>
          <w:tcPr>
            <w:tcW w:w="69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355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一、本年新收政府信息公开申请数量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3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3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355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二、上年结转政府信息公开申请数量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三、本年度办理结果</w:t>
            </w:r>
          </w:p>
        </w:tc>
        <w:tc>
          <w:tcPr>
            <w:tcW w:w="294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（一）予以公开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（二）部分公开（区分处理的，只计这一情形，不计其他情形）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（三）不予公开</w:t>
            </w: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1.属于国家秘密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2.其他法律行政法规禁止公开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3.危及“三安全一稳定”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4.保护第三方合法权益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5.属于三类内部事务信息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6.属于四类过程性信息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7.属于行政执法案卷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8.属于行政查询事项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（四）无法提供</w:t>
            </w: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1.本机关不掌握相关政府信息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2.没有现成信息需要另行制作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3.补正后申请内容仍不明确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（五）不予处理</w:t>
            </w: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1.信访举报投诉类申请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2.重复申请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3.要求提供公开出版物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4.无正当理由大量反复申请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85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08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5.要求行政机关确认或重新出具已获取信息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（六）其他处理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15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2940" w:type="dxa"/>
            <w:gridSpan w:val="2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楷体" w:hAnsi="楷体" w:eastAsia="楷体" w:cs="楷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（七）总计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3555" w:type="dxa"/>
            <w:gridSpan w:val="3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left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四、结转下年度继续办理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5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81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97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70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9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  <w:bdr w:val="none" w:color="auto" w:sz="0" w:space="0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黑体" w:hAnsi="宋体" w:eastAsia="黑体" w:cs="黑体"/>
          <w:i w:val="0"/>
          <w:iCs w:val="0"/>
          <w:color w:val="333333"/>
          <w:sz w:val="32"/>
          <w:szCs w:val="32"/>
          <w:u w:val="none"/>
          <w:shd w:val="clear" w:fill="FFFFFF"/>
        </w:rPr>
      </w:pPr>
      <w:r>
        <w:rPr>
          <w:rFonts w:hint="eastAsia" w:ascii="黑体" w:hAnsi="宋体" w:eastAsia="黑体" w:cs="黑体"/>
          <w:i w:val="0"/>
          <w:iCs w:val="0"/>
          <w:color w:val="333333"/>
          <w:sz w:val="32"/>
          <w:szCs w:val="32"/>
          <w:u w:val="none"/>
          <w:shd w:val="clear" w:fill="FFFFFF"/>
        </w:rPr>
        <w:t>四、政府信息公开行政复议、行政诉讼情况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</w:pPr>
      <w:r>
        <w:rPr>
          <w:rFonts w:hint="eastAsia" w:ascii="宋体" w:hAnsi="宋体" w:eastAsia="宋体" w:cs="宋体"/>
          <w:i w:val="0"/>
          <w:iCs w:val="0"/>
          <w:sz w:val="21"/>
          <w:szCs w:val="21"/>
          <w:u w:val="none"/>
          <w:bdr w:val="none" w:color="auto" w:sz="0" w:space="0"/>
        </w:rPr>
        <w:t> </w:t>
      </w:r>
    </w:p>
    <w:tbl>
      <w:tblPr>
        <w:tblW w:w="9075" w:type="dxa"/>
        <w:tblCellSpacing w:w="15" w:type="dxa"/>
        <w:tblInd w:w="0" w:type="dxa"/>
        <w:tblBorders>
          <w:top w:val="single" w:color="666666" w:sz="6" w:space="0"/>
          <w:left w:val="single" w:color="666666" w:sz="6" w:space="0"/>
          <w:bottom w:val="single" w:color="666666" w:sz="6" w:space="0"/>
          <w:right w:val="single" w:color="666666" w:sz="6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617"/>
        <w:gridCol w:w="602"/>
        <w:gridCol w:w="602"/>
        <w:gridCol w:w="602"/>
        <w:gridCol w:w="652"/>
        <w:gridCol w:w="565"/>
        <w:gridCol w:w="602"/>
        <w:gridCol w:w="602"/>
        <w:gridCol w:w="602"/>
        <w:gridCol w:w="602"/>
        <w:gridCol w:w="602"/>
        <w:gridCol w:w="602"/>
        <w:gridCol w:w="602"/>
        <w:gridCol w:w="603"/>
        <w:gridCol w:w="618"/>
      </w:tblGrid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3075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行政复议</w:t>
            </w:r>
          </w:p>
        </w:tc>
        <w:tc>
          <w:tcPr>
            <w:tcW w:w="6000" w:type="dxa"/>
            <w:gridSpan w:val="10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行政诉讼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结果维持</w:t>
            </w:r>
          </w:p>
        </w:tc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结果纠正</w:t>
            </w:r>
          </w:p>
        </w:tc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其他结果</w:t>
            </w:r>
          </w:p>
        </w:tc>
        <w:tc>
          <w:tcPr>
            <w:tcW w:w="60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尚未审结</w:t>
            </w:r>
          </w:p>
        </w:tc>
        <w:tc>
          <w:tcPr>
            <w:tcW w:w="660" w:type="dxa"/>
            <w:vMerge w:val="restart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总计</w:t>
            </w:r>
          </w:p>
        </w:tc>
        <w:tc>
          <w:tcPr>
            <w:tcW w:w="2970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未经复议直接起诉</w:t>
            </w:r>
          </w:p>
        </w:tc>
        <w:tc>
          <w:tcPr>
            <w:tcW w:w="3030" w:type="dxa"/>
            <w:gridSpan w:val="5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复议后起诉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60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660" w:type="dxa"/>
            <w:vMerge w:val="continue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iCs w:val="0"/>
                <w:sz w:val="24"/>
                <w:szCs w:val="24"/>
                <w:u w:val="none"/>
              </w:rPr>
            </w:pPr>
          </w:p>
        </w:tc>
        <w:tc>
          <w:tcPr>
            <w:tcW w:w="55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结果维持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结果纠正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其他结果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尚未审结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总计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结果维持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结果纠正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其他结果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19"/>
                <w:szCs w:val="19"/>
                <w:u w:val="none"/>
                <w:bdr w:val="none" w:color="auto" w:sz="0" w:space="0"/>
              </w:rPr>
              <w:t>尚未审结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19"/>
                <w:szCs w:val="19"/>
                <w:u w:val="none"/>
                <w:bdr w:val="none" w:color="auto" w:sz="0" w:space="0"/>
              </w:rPr>
              <w:t>总计</w:t>
            </w:r>
          </w:p>
        </w:tc>
      </w:tr>
      <w:tr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15" w:type="dxa"/>
        </w:trPr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6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555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180" w:afterAutospacing="0"/>
              <w:ind w:left="0" w:right="0"/>
              <w:jc w:val="center"/>
            </w:pPr>
            <w:r>
              <w:rPr>
                <w:rFonts w:hint="default" w:ascii="Calibri" w:hAnsi="Calibri" w:eastAsia="微软雅黑" w:cs="Calibri"/>
                <w:i w:val="0"/>
                <w:iCs w:val="0"/>
                <w:sz w:val="21"/>
                <w:szCs w:val="21"/>
                <w:u w:val="none"/>
                <w:bdr w:val="none" w:color="auto" w:sz="0" w:space="0"/>
              </w:rPr>
              <w:t>0</w:t>
            </w:r>
          </w:p>
        </w:tc>
        <w:tc>
          <w:tcPr>
            <w:tcW w:w="600" w:type="dxa"/>
            <w:tcBorders>
              <w:top w:val="single" w:color="666666" w:sz="6" w:space="0"/>
              <w:left w:val="single" w:color="666666" w:sz="6" w:space="0"/>
              <w:bottom w:val="single" w:color="666666" w:sz="6" w:space="0"/>
              <w:right w:val="single" w:color="666666" w:sz="6" w:space="0"/>
            </w:tcBorders>
            <w:shd w:val="clear"/>
            <w:tcMar>
              <w:left w:w="105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jc w:val="center"/>
            </w:pPr>
            <w:r>
              <w:rPr>
                <w:rFonts w:hint="eastAsia" w:ascii="宋体" w:hAnsi="宋体" w:eastAsia="宋体" w:cs="宋体"/>
                <w:i w:val="0"/>
                <w:iCs w:val="0"/>
                <w:sz w:val="24"/>
                <w:szCs w:val="24"/>
                <w:u w:val="none"/>
                <w:bdr w:val="none" w:color="auto" w:sz="0" w:space="0"/>
              </w:rPr>
              <w:t>0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</w:pPr>
      <w:r>
        <w:rPr>
          <w:rFonts w:hint="eastAsia" w:ascii="宋体" w:hAnsi="宋体" w:eastAsia="宋体" w:cs="宋体"/>
          <w:i w:val="0"/>
          <w:iCs w:val="0"/>
          <w:sz w:val="21"/>
          <w:szCs w:val="21"/>
          <w:u w:val="none"/>
          <w:bdr w:val="none" w:color="auto" w:sz="0" w:space="0"/>
        </w:rPr>
        <w:t> 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黑体" w:hAnsi="宋体" w:eastAsia="黑体" w:cs="黑体"/>
          <w:i w:val="0"/>
          <w:iCs w:val="0"/>
          <w:color w:val="333333"/>
          <w:sz w:val="32"/>
          <w:szCs w:val="32"/>
          <w:u w:val="none"/>
          <w:shd w:val="clear" w:fill="FFFFFF"/>
        </w:rPr>
      </w:pPr>
      <w:r>
        <w:rPr>
          <w:rFonts w:hint="eastAsia" w:ascii="黑体" w:hAnsi="宋体" w:eastAsia="黑体" w:cs="黑体"/>
          <w:i w:val="0"/>
          <w:iCs w:val="0"/>
          <w:color w:val="333333"/>
          <w:sz w:val="32"/>
          <w:szCs w:val="32"/>
          <w:u w:val="none"/>
          <w:shd w:val="clear" w:fill="FFFFFF"/>
        </w:rPr>
        <w:t>五、存在的主要问题及改进情况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</w:pPr>
      <w:r>
        <w:rPr>
          <w:rFonts w:hint="default" w:ascii="仿宋" w:hAnsi="仿宋" w:eastAsia="仿宋" w:cs="仿宋"/>
          <w:i w:val="0"/>
          <w:iCs w:val="0"/>
          <w:sz w:val="32"/>
          <w:szCs w:val="32"/>
          <w:u w:val="none"/>
        </w:rPr>
        <w:t>2023</w:t>
      </w: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  <w:t>年我局在政府信息公开工作方面取得了一定的成绩，但仍存在一些不足，主要表现在政府信息公开的内容和形式不够丰富，覆盖面还有待进一步拓展，对信息公开工作的监督指导力度有待进一步加强等。如有的在认识上还停留在“要我公开”上，有的满足于一般性的办事程序、办事原则等规范性工作流程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</w:pP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  <w:t>下一步，继续加大对政府信息公开的业务学习和培训，进一步梳理本单位掌握的各项政府信息，及时提供，定期维护，确保政府信息公开工作能按照既定的工作流程有效运作，更加广泛地征集民众的意见和建议，进一步优化政府信息公开环境，拓宽公开渠道，提升服务水平，切实提高我局的信息公开工作水平。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</w:pPr>
      <w:r>
        <w:rPr>
          <w:rFonts w:hint="eastAsia" w:ascii="黑体" w:hAnsi="宋体" w:eastAsia="黑体" w:cs="黑体"/>
          <w:i w:val="0"/>
          <w:iCs w:val="0"/>
          <w:color w:val="333333"/>
          <w:sz w:val="31"/>
          <w:szCs w:val="31"/>
          <w:u w:val="none"/>
          <w:bdr w:val="none" w:color="auto" w:sz="0" w:space="0"/>
          <w:shd w:val="clear" w:fill="FFFFFF"/>
        </w:rPr>
        <w:t>六、其他需要报告的事项</w:t>
      </w:r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645"/>
        <w:jc w:val="left"/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</w:pPr>
      <w:r>
        <w:rPr>
          <w:rFonts w:hint="default" w:ascii="仿宋" w:hAnsi="仿宋" w:eastAsia="仿宋" w:cs="仿宋"/>
          <w:i w:val="0"/>
          <w:iCs w:val="0"/>
          <w:sz w:val="32"/>
          <w:szCs w:val="32"/>
          <w:u w:val="none"/>
        </w:rPr>
        <w:t>认真贯彻执行国务院办公厅《政府信息公开信息处理费管理办法》和《关于政府信息公开处理费管理有关事项的通知》，</w:t>
      </w:r>
      <w:r>
        <w:rPr>
          <w:rFonts w:hint="eastAsia" w:ascii="仿宋" w:hAnsi="仿宋" w:eastAsia="仿宋" w:cs="仿宋"/>
          <w:i w:val="0"/>
          <w:iCs w:val="0"/>
          <w:sz w:val="32"/>
          <w:szCs w:val="32"/>
          <w:u w:val="none"/>
        </w:rPr>
        <w:t>2023年全局无收取信息处理费情况。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M1OGViODc5ODMxNWY5NDU2YmJmNjNhNDU4NWM1NjQifQ=="/>
  </w:docVars>
  <w:rsids>
    <w:rsidRoot w:val="00000000"/>
    <w:rsid w:val="74BA2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rFonts w:ascii="微软雅黑" w:hAnsi="微软雅黑" w:eastAsia="微软雅黑" w:cs="微软雅黑"/>
      <w:kern w:val="0"/>
      <w:sz w:val="24"/>
      <w:u w:val="none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FollowedHyperlink"/>
    <w:basedOn w:val="4"/>
    <w:uiPriority w:val="0"/>
    <w:rPr>
      <w:rFonts w:hint="eastAsia" w:ascii="微软雅黑" w:hAnsi="微软雅黑" w:eastAsia="微软雅黑" w:cs="微软雅黑"/>
      <w:color w:val="800080"/>
      <w:u w:val="none"/>
      <w:bdr w:val="none" w:color="auto" w:sz="0" w:space="0"/>
    </w:rPr>
  </w:style>
  <w:style w:type="character" w:styleId="7">
    <w:name w:val="Emphasis"/>
    <w:basedOn w:val="4"/>
    <w:qFormat/>
    <w:uiPriority w:val="0"/>
    <w:rPr>
      <w:rFonts w:hint="eastAsia" w:ascii="微软雅黑" w:hAnsi="微软雅黑" w:eastAsia="微软雅黑" w:cs="微软雅黑"/>
      <w:u w:val="none"/>
      <w:bdr w:val="none" w:color="auto" w:sz="0" w:space="0"/>
    </w:rPr>
  </w:style>
  <w:style w:type="character" w:styleId="8">
    <w:name w:val="Hyperlink"/>
    <w:basedOn w:val="4"/>
    <w:uiPriority w:val="0"/>
    <w:rPr>
      <w:rFonts w:hint="eastAsia" w:ascii="微软雅黑" w:hAnsi="微软雅黑" w:eastAsia="微软雅黑" w:cs="微软雅黑"/>
      <w:color w:val="0000FF"/>
      <w:u w:val="none"/>
      <w:bdr w:val="none" w:color="auto" w:sz="0" w:space="0"/>
    </w:rPr>
  </w:style>
  <w:style w:type="character" w:customStyle="1" w:styleId="9">
    <w:name w:val="curr"/>
    <w:basedOn w:val="4"/>
    <w:uiPriority w:val="0"/>
    <w:rPr>
      <w:color w:val="FFFFFF"/>
      <w:shd w:val="clear" w:fill="BE0402"/>
    </w:rPr>
  </w:style>
  <w:style w:type="character" w:customStyle="1" w:styleId="10">
    <w:name w:val="hover10"/>
    <w:basedOn w:val="4"/>
    <w:uiPriority w:val="0"/>
    <w:rPr>
      <w:color w:val="BE040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1075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2024-01-25T07:31:14Z</dcterms:created>
  <dc:creator>A</dc:creator>
  <cp:lastModifiedBy>A</cp:lastModifiedBy>
  <cp:lastPrinted>2024-01-26T01:25:00Z</cp:lastPrinted>
  <dcterms:modified xsi:type="dcterms:W3CDTF">2024-01-26T01:26:37Z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184D9E5539394E39B7D4FE7AFE55E183_12</vt:lpwstr>
  </property>
</Properties>
</file>