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4FA8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i w:val="0"/>
          <w:color w:val="000000"/>
          <w:sz w:val="44"/>
          <w:szCs w:val="44"/>
          <w:u w:val="none"/>
          <w:lang w:eastAsia="zh-CN"/>
        </w:rPr>
      </w:pPr>
      <w:r>
        <w:rPr>
          <w:rFonts w:hint="eastAsia" w:ascii="宋体" w:hAnsi="宋体" w:eastAsia="宋体" w:cs="宋体"/>
          <w:b/>
          <w:bCs/>
          <w:i w:val="0"/>
          <w:color w:val="000000"/>
          <w:sz w:val="44"/>
          <w:szCs w:val="44"/>
          <w:u w:val="none"/>
          <w:lang w:eastAsia="zh-CN"/>
        </w:rPr>
        <w:t>南宫市财政局</w:t>
      </w:r>
    </w:p>
    <w:p w14:paraId="433D4A9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宋体" w:hAnsi="宋体" w:eastAsia="宋体" w:cs="宋体"/>
          <w:b/>
          <w:bCs/>
          <w:i w:val="0"/>
          <w:color w:val="000000"/>
          <w:sz w:val="44"/>
          <w:szCs w:val="44"/>
          <w:u w:val="none"/>
          <w:lang w:val="en-US" w:eastAsia="zh-CN"/>
        </w:rPr>
      </w:pPr>
      <w:r>
        <w:rPr>
          <w:rFonts w:hint="eastAsia" w:ascii="宋体" w:hAnsi="宋体" w:eastAsia="宋体" w:cs="宋体"/>
          <w:b/>
          <w:bCs/>
          <w:i w:val="0"/>
          <w:color w:val="000000"/>
          <w:sz w:val="44"/>
          <w:szCs w:val="44"/>
          <w:u w:val="none"/>
          <w:lang w:val="en-US" w:eastAsia="zh-CN"/>
        </w:rPr>
        <w:t>关于</w:t>
      </w:r>
      <w:r>
        <w:rPr>
          <w:rFonts w:hint="eastAsia" w:ascii="宋体" w:hAnsi="宋体" w:eastAsia="宋体" w:cs="宋体"/>
          <w:b/>
          <w:bCs/>
          <w:i w:val="0"/>
          <w:color w:val="000000"/>
          <w:sz w:val="44"/>
          <w:szCs w:val="44"/>
          <w:u w:val="none"/>
          <w:lang w:eastAsia="zh-CN"/>
        </w:rPr>
        <w:t>202</w:t>
      </w:r>
      <w:r>
        <w:rPr>
          <w:rFonts w:hint="eastAsia" w:ascii="宋体" w:hAnsi="宋体" w:eastAsia="宋体" w:cs="宋体"/>
          <w:b/>
          <w:bCs/>
          <w:i w:val="0"/>
          <w:color w:val="000000"/>
          <w:sz w:val="44"/>
          <w:szCs w:val="44"/>
          <w:u w:val="none"/>
          <w:lang w:val="en-US" w:eastAsia="zh-CN"/>
        </w:rPr>
        <w:t>4</w:t>
      </w:r>
      <w:r>
        <w:rPr>
          <w:rFonts w:hint="eastAsia" w:ascii="宋体" w:hAnsi="宋体" w:eastAsia="宋体" w:cs="宋体"/>
          <w:b/>
          <w:bCs/>
          <w:i w:val="0"/>
          <w:color w:val="000000"/>
          <w:sz w:val="44"/>
          <w:szCs w:val="44"/>
          <w:u w:val="none"/>
          <w:lang w:eastAsia="zh-CN"/>
        </w:rPr>
        <w:t>年度会计</w:t>
      </w:r>
      <w:r>
        <w:rPr>
          <w:rFonts w:hint="eastAsia" w:ascii="宋体" w:hAnsi="宋体" w:eastAsia="宋体" w:cs="宋体"/>
          <w:b/>
          <w:bCs/>
          <w:i w:val="0"/>
          <w:color w:val="000000"/>
          <w:sz w:val="44"/>
          <w:szCs w:val="44"/>
          <w:u w:val="none"/>
          <w:lang w:val="en-US" w:eastAsia="zh-CN"/>
        </w:rPr>
        <w:t>信息质量</w:t>
      </w:r>
      <w:r>
        <w:rPr>
          <w:rFonts w:hint="eastAsia" w:ascii="宋体" w:hAnsi="宋体" w:eastAsia="宋体" w:cs="宋体"/>
          <w:b/>
          <w:bCs/>
          <w:i w:val="0"/>
          <w:color w:val="000000"/>
          <w:sz w:val="44"/>
          <w:szCs w:val="44"/>
          <w:u w:val="none"/>
          <w:lang w:eastAsia="zh-CN"/>
        </w:rPr>
        <w:t>监督检查</w:t>
      </w:r>
      <w:r>
        <w:rPr>
          <w:rFonts w:hint="eastAsia" w:ascii="宋体" w:hAnsi="宋体" w:eastAsia="宋体" w:cs="宋体"/>
          <w:b/>
          <w:bCs/>
          <w:i w:val="0"/>
          <w:color w:val="000000"/>
          <w:sz w:val="44"/>
          <w:szCs w:val="44"/>
          <w:u w:val="none"/>
          <w:lang w:val="en-US" w:eastAsia="zh-CN"/>
        </w:rPr>
        <w:t>查后公示</w:t>
      </w:r>
    </w:p>
    <w:p w14:paraId="7765C6D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i w:val="0"/>
          <w:color w:val="000000"/>
          <w:sz w:val="44"/>
          <w:szCs w:val="44"/>
          <w:u w:val="none"/>
          <w:lang w:eastAsia="zh-CN"/>
        </w:rPr>
      </w:pPr>
    </w:p>
    <w:p w14:paraId="37A2A8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eastAsia="zh-CN"/>
        </w:rPr>
      </w:pPr>
      <w:r>
        <w:rPr>
          <w:rFonts w:hint="eastAsia" w:ascii="仿宋_GB2312" w:hAnsi="仿宋_GB2312" w:eastAsia="仿宋_GB2312" w:cs="仿宋_GB2312"/>
          <w:b w:val="0"/>
          <w:i w:val="0"/>
          <w:color w:val="000000"/>
          <w:sz w:val="32"/>
          <w:szCs w:val="32"/>
          <w:u w:val="none"/>
          <w:lang w:val="en-US" w:eastAsia="zh-CN"/>
        </w:rPr>
        <w:t>为深入贯彻《中共中央办公厅 国务院办公厅关于进一步加强财会监督的意见》</w:t>
      </w:r>
      <w:r>
        <w:rPr>
          <w:rFonts w:hint="eastAsia" w:ascii="仿宋_GB2312" w:hAnsi="仿宋_GB2312" w:eastAsia="仿宋_GB2312" w:cs="仿宋_GB2312"/>
          <w:b w:val="0"/>
          <w:i w:val="0"/>
          <w:color w:val="000000"/>
          <w:sz w:val="32"/>
          <w:szCs w:val="32"/>
          <w:u w:val="none"/>
          <w:lang w:eastAsia="zh-CN"/>
        </w:rPr>
        <w:t>，</w:t>
      </w:r>
      <w:r>
        <w:rPr>
          <w:rFonts w:hint="eastAsia" w:ascii="仿宋_GB2312" w:hAnsi="仿宋_GB2312" w:eastAsia="仿宋_GB2312" w:cs="仿宋_GB2312"/>
          <w:b w:val="0"/>
          <w:i w:val="0"/>
          <w:color w:val="000000"/>
          <w:sz w:val="32"/>
          <w:szCs w:val="32"/>
          <w:u w:val="none"/>
          <w:lang w:val="en-US" w:eastAsia="zh-CN"/>
        </w:rPr>
        <w:t>落实财会监督专项行动部署要求，</w:t>
      </w:r>
      <w:r>
        <w:rPr>
          <w:rFonts w:hint="eastAsia" w:ascii="仿宋_GB2312" w:hAnsi="仿宋_GB2312" w:eastAsia="仿宋_GB2312" w:cs="仿宋_GB2312"/>
          <w:b w:val="0"/>
          <w:i w:val="0"/>
          <w:color w:val="000000"/>
          <w:sz w:val="32"/>
          <w:szCs w:val="32"/>
          <w:u w:val="none"/>
          <w:lang w:eastAsia="zh-CN"/>
        </w:rPr>
        <w:t>按照《邢台市财政局关于开展202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年度会计</w:t>
      </w:r>
      <w:r>
        <w:rPr>
          <w:rFonts w:hint="eastAsia" w:ascii="仿宋_GB2312" w:hAnsi="仿宋_GB2312" w:eastAsia="仿宋_GB2312" w:cs="仿宋_GB2312"/>
          <w:b w:val="0"/>
          <w:i w:val="0"/>
          <w:color w:val="000000"/>
          <w:sz w:val="32"/>
          <w:szCs w:val="32"/>
          <w:u w:val="none"/>
          <w:lang w:val="en-US" w:eastAsia="zh-CN"/>
        </w:rPr>
        <w:t>和乡、村级财务监督检查工作</w:t>
      </w:r>
      <w:r>
        <w:rPr>
          <w:rFonts w:hint="eastAsia" w:ascii="仿宋_GB2312" w:hAnsi="仿宋_GB2312" w:eastAsia="仿宋_GB2312" w:cs="仿宋_GB2312"/>
          <w:b w:val="0"/>
          <w:i w:val="0"/>
          <w:color w:val="000000"/>
          <w:sz w:val="32"/>
          <w:szCs w:val="32"/>
          <w:u w:val="none"/>
          <w:lang w:eastAsia="zh-CN"/>
        </w:rPr>
        <w:t>的通知》（邢财监〔202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w:t>
      </w:r>
      <w:r>
        <w:rPr>
          <w:rFonts w:hint="eastAsia" w:ascii="仿宋_GB2312" w:hAnsi="仿宋_GB2312" w:eastAsia="仿宋_GB2312" w:cs="仿宋_GB2312"/>
          <w:b w:val="0"/>
          <w:i w:val="0"/>
          <w:color w:val="000000"/>
          <w:sz w:val="32"/>
          <w:szCs w:val="32"/>
          <w:u w:val="none"/>
          <w:lang w:val="en-US" w:eastAsia="zh-CN"/>
        </w:rPr>
        <w:t>9</w:t>
      </w:r>
      <w:r>
        <w:rPr>
          <w:rFonts w:hint="eastAsia" w:ascii="仿宋_GB2312" w:hAnsi="仿宋_GB2312" w:eastAsia="仿宋_GB2312" w:cs="仿宋_GB2312"/>
          <w:b w:val="0"/>
          <w:i w:val="0"/>
          <w:color w:val="000000"/>
          <w:sz w:val="32"/>
          <w:szCs w:val="32"/>
          <w:u w:val="none"/>
          <w:lang w:eastAsia="zh-CN"/>
        </w:rPr>
        <w:t>号）</w:t>
      </w:r>
      <w:r>
        <w:rPr>
          <w:rFonts w:hint="eastAsia" w:ascii="仿宋_GB2312" w:hAnsi="仿宋_GB2312" w:eastAsia="仿宋_GB2312" w:cs="仿宋_GB2312"/>
          <w:b w:val="0"/>
          <w:i w:val="0"/>
          <w:color w:val="000000"/>
          <w:sz w:val="32"/>
          <w:szCs w:val="32"/>
          <w:u w:val="none"/>
          <w:lang w:val="en-US" w:eastAsia="zh-CN"/>
        </w:rPr>
        <w:t>精神</w:t>
      </w:r>
      <w:r>
        <w:rPr>
          <w:rFonts w:hint="eastAsia" w:ascii="仿宋_GB2312" w:hAnsi="仿宋_GB2312" w:eastAsia="仿宋_GB2312" w:cs="仿宋_GB2312"/>
          <w:b w:val="0"/>
          <w:i w:val="0"/>
          <w:color w:val="000000"/>
          <w:sz w:val="32"/>
          <w:szCs w:val="32"/>
          <w:u w:val="none"/>
          <w:lang w:eastAsia="zh-CN"/>
        </w:rPr>
        <w:t>，我局</w:t>
      </w:r>
      <w:r>
        <w:rPr>
          <w:rFonts w:hint="eastAsia" w:ascii="仿宋_GB2312" w:hAnsi="仿宋_GB2312" w:eastAsia="仿宋_GB2312" w:cs="仿宋_GB2312"/>
          <w:b w:val="0"/>
          <w:i w:val="0"/>
          <w:color w:val="000000"/>
          <w:sz w:val="32"/>
          <w:szCs w:val="32"/>
          <w:u w:val="none"/>
          <w:lang w:val="en-US" w:eastAsia="zh-CN"/>
        </w:rPr>
        <w:t>已组织开展</w:t>
      </w:r>
      <w:r>
        <w:rPr>
          <w:rFonts w:hint="eastAsia" w:ascii="仿宋_GB2312" w:hAnsi="仿宋_GB2312" w:eastAsia="仿宋_GB2312" w:cs="仿宋_GB2312"/>
          <w:b w:val="0"/>
          <w:i w:val="0"/>
          <w:color w:val="000000"/>
          <w:sz w:val="32"/>
          <w:szCs w:val="32"/>
          <w:u w:val="none"/>
          <w:lang w:eastAsia="zh-CN"/>
        </w:rPr>
        <w:t>202</w:t>
      </w:r>
      <w:r>
        <w:rPr>
          <w:rFonts w:hint="eastAsia" w:ascii="仿宋_GB2312" w:hAnsi="仿宋_GB2312" w:eastAsia="仿宋_GB2312" w:cs="仿宋_GB2312"/>
          <w:b w:val="0"/>
          <w:i w:val="0"/>
          <w:color w:val="000000"/>
          <w:sz w:val="32"/>
          <w:szCs w:val="32"/>
          <w:u w:val="none"/>
          <w:lang w:val="en-US" w:eastAsia="zh-CN"/>
        </w:rPr>
        <w:t>4</w:t>
      </w:r>
      <w:r>
        <w:rPr>
          <w:rFonts w:hint="eastAsia" w:ascii="仿宋_GB2312" w:hAnsi="仿宋_GB2312" w:eastAsia="仿宋_GB2312" w:cs="仿宋_GB2312"/>
          <w:b w:val="0"/>
          <w:i w:val="0"/>
          <w:color w:val="000000"/>
          <w:sz w:val="32"/>
          <w:szCs w:val="32"/>
          <w:u w:val="none"/>
          <w:lang w:eastAsia="zh-CN"/>
        </w:rPr>
        <w:t>年会计</w:t>
      </w:r>
      <w:r>
        <w:rPr>
          <w:rFonts w:hint="eastAsia" w:ascii="仿宋_GB2312" w:hAnsi="仿宋_GB2312" w:eastAsia="仿宋_GB2312" w:cs="仿宋_GB2312"/>
          <w:b w:val="0"/>
          <w:i w:val="0"/>
          <w:color w:val="000000"/>
          <w:sz w:val="32"/>
          <w:szCs w:val="32"/>
          <w:u w:val="none"/>
          <w:lang w:val="en-US" w:eastAsia="zh-CN"/>
        </w:rPr>
        <w:t>信息质量</w:t>
      </w:r>
      <w:r>
        <w:rPr>
          <w:rFonts w:hint="eastAsia" w:ascii="仿宋_GB2312" w:hAnsi="仿宋_GB2312" w:eastAsia="仿宋_GB2312" w:cs="仿宋_GB2312"/>
          <w:b w:val="0"/>
          <w:i w:val="0"/>
          <w:color w:val="000000"/>
          <w:sz w:val="32"/>
          <w:szCs w:val="32"/>
          <w:u w:val="none"/>
          <w:lang w:eastAsia="zh-CN"/>
        </w:rPr>
        <w:t>监督检查工作，</w:t>
      </w:r>
      <w:r>
        <w:rPr>
          <w:rFonts w:hint="eastAsia" w:ascii="仿宋_GB2312" w:hAnsi="仿宋_GB2312" w:eastAsia="仿宋_GB2312" w:cs="仿宋_GB2312"/>
          <w:b w:val="0"/>
          <w:i w:val="0"/>
          <w:color w:val="000000"/>
          <w:sz w:val="32"/>
          <w:szCs w:val="32"/>
          <w:u w:val="none"/>
          <w:lang w:val="en-US" w:eastAsia="zh-CN"/>
        </w:rPr>
        <w:t>目前检查工作已全部结束，</w:t>
      </w:r>
      <w:r>
        <w:rPr>
          <w:rFonts w:hint="eastAsia" w:ascii="仿宋_GB2312" w:hAnsi="仿宋_GB2312" w:eastAsia="仿宋_GB2312" w:cs="仿宋_GB2312"/>
          <w:b w:val="0"/>
          <w:i w:val="0"/>
          <w:color w:val="000000"/>
          <w:sz w:val="32"/>
          <w:szCs w:val="32"/>
          <w:u w:val="none"/>
          <w:lang w:eastAsia="zh-CN"/>
        </w:rPr>
        <w:t>现将</w:t>
      </w:r>
      <w:r>
        <w:rPr>
          <w:rFonts w:hint="eastAsia" w:ascii="仿宋_GB2312" w:hAnsi="仿宋_GB2312" w:eastAsia="仿宋_GB2312" w:cs="仿宋_GB2312"/>
          <w:b w:val="0"/>
          <w:i w:val="0"/>
          <w:color w:val="000000"/>
          <w:sz w:val="32"/>
          <w:szCs w:val="32"/>
          <w:u w:val="none"/>
          <w:lang w:val="en-US" w:eastAsia="zh-CN"/>
        </w:rPr>
        <w:t>此次检查</w:t>
      </w:r>
      <w:r>
        <w:rPr>
          <w:rFonts w:hint="eastAsia" w:ascii="仿宋_GB2312" w:hAnsi="仿宋_GB2312" w:eastAsia="仿宋_GB2312" w:cs="仿宋_GB2312"/>
          <w:b w:val="0"/>
          <w:i w:val="0"/>
          <w:color w:val="000000"/>
          <w:sz w:val="32"/>
          <w:szCs w:val="32"/>
          <w:u w:val="none"/>
          <w:lang w:eastAsia="zh-CN"/>
        </w:rPr>
        <w:t>有关</w:t>
      </w:r>
      <w:r>
        <w:rPr>
          <w:rFonts w:hint="eastAsia" w:ascii="仿宋_GB2312" w:hAnsi="仿宋_GB2312" w:eastAsia="仿宋_GB2312" w:cs="仿宋_GB2312"/>
          <w:b w:val="0"/>
          <w:i w:val="0"/>
          <w:color w:val="000000"/>
          <w:sz w:val="32"/>
          <w:szCs w:val="32"/>
          <w:u w:val="none"/>
          <w:lang w:val="en-US" w:eastAsia="zh-CN"/>
        </w:rPr>
        <w:t>结果</w:t>
      </w:r>
      <w:r>
        <w:rPr>
          <w:rFonts w:hint="eastAsia" w:ascii="仿宋_GB2312" w:hAnsi="仿宋_GB2312" w:eastAsia="仿宋_GB2312" w:cs="仿宋_GB2312"/>
          <w:b w:val="0"/>
          <w:i w:val="0"/>
          <w:color w:val="000000"/>
          <w:sz w:val="32"/>
          <w:szCs w:val="32"/>
          <w:u w:val="none"/>
          <w:lang w:eastAsia="zh-CN"/>
        </w:rPr>
        <w:t>公</w:t>
      </w:r>
      <w:r>
        <w:rPr>
          <w:rFonts w:hint="eastAsia" w:ascii="仿宋_GB2312" w:hAnsi="仿宋_GB2312" w:eastAsia="仿宋_GB2312" w:cs="仿宋_GB2312"/>
          <w:b w:val="0"/>
          <w:i w:val="0"/>
          <w:color w:val="000000"/>
          <w:sz w:val="32"/>
          <w:szCs w:val="32"/>
          <w:u w:val="none"/>
          <w:lang w:val="en-US" w:eastAsia="zh-CN"/>
        </w:rPr>
        <w:t>告</w:t>
      </w:r>
      <w:r>
        <w:rPr>
          <w:rFonts w:hint="eastAsia" w:ascii="仿宋_GB2312" w:hAnsi="仿宋_GB2312" w:eastAsia="仿宋_GB2312" w:cs="仿宋_GB2312"/>
          <w:b w:val="0"/>
          <w:i w:val="0"/>
          <w:color w:val="000000"/>
          <w:sz w:val="32"/>
          <w:szCs w:val="32"/>
          <w:u w:val="none"/>
          <w:lang w:eastAsia="zh-CN"/>
        </w:rPr>
        <w:t>如下：</w:t>
      </w:r>
    </w:p>
    <w:p w14:paraId="33247D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i w:val="0"/>
          <w:color w:val="000000"/>
          <w:sz w:val="32"/>
          <w:szCs w:val="32"/>
          <w:u w:val="none"/>
          <w:lang w:eastAsia="zh-CN"/>
        </w:rPr>
      </w:pPr>
      <w:r>
        <w:rPr>
          <w:rFonts w:hint="eastAsia" w:ascii="黑体" w:hAnsi="黑体" w:eastAsia="黑体" w:cs="黑体"/>
          <w:b w:val="0"/>
          <w:i w:val="0"/>
          <w:color w:val="000000"/>
          <w:sz w:val="32"/>
          <w:szCs w:val="32"/>
          <w:u w:val="none"/>
          <w:lang w:eastAsia="zh-CN"/>
        </w:rPr>
        <w:t>一、检查</w:t>
      </w:r>
      <w:r>
        <w:rPr>
          <w:rFonts w:hint="eastAsia" w:ascii="黑体" w:hAnsi="黑体" w:eastAsia="黑体" w:cs="黑体"/>
          <w:b w:val="0"/>
          <w:i w:val="0"/>
          <w:color w:val="000000"/>
          <w:sz w:val="32"/>
          <w:szCs w:val="32"/>
          <w:u w:val="none"/>
          <w:lang w:val="en-US" w:eastAsia="zh-CN"/>
        </w:rPr>
        <w:t>时间</w:t>
      </w:r>
    </w:p>
    <w:p w14:paraId="167A2C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lang w:val="en-US" w:eastAsia="zh-CN"/>
        </w:rPr>
        <w:t>2024年6月10日至2024年9月20日</w:t>
      </w:r>
    </w:p>
    <w:p w14:paraId="7C2AE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eastAsia="zh-CN"/>
        </w:rPr>
      </w:pPr>
      <w:r>
        <w:rPr>
          <w:rFonts w:hint="eastAsia" w:ascii="黑体" w:hAnsi="黑体" w:eastAsia="黑体" w:cs="黑体"/>
          <w:b w:val="0"/>
          <w:i w:val="0"/>
          <w:color w:val="000000"/>
          <w:kern w:val="2"/>
          <w:sz w:val="32"/>
          <w:szCs w:val="32"/>
          <w:lang w:val="en-US" w:eastAsia="zh-CN" w:bidi="ar-SA"/>
        </w:rPr>
        <w:t>二、</w:t>
      </w:r>
      <w:r>
        <w:rPr>
          <w:rFonts w:hint="eastAsia" w:ascii="黑体" w:hAnsi="黑体" w:eastAsia="黑体" w:cs="黑体"/>
          <w:b w:val="0"/>
          <w:i w:val="0"/>
          <w:color w:val="000000"/>
          <w:sz w:val="32"/>
          <w:szCs w:val="32"/>
          <w:u w:val="none"/>
          <w:lang w:val="en-US" w:eastAsia="zh-CN"/>
        </w:rPr>
        <w:t>检查内容</w:t>
      </w:r>
    </w:p>
    <w:p w14:paraId="50A8E0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检查会计期间为202</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年</w:t>
      </w:r>
      <w:r>
        <w:rPr>
          <w:rFonts w:hint="eastAsia" w:ascii="仿宋_GB2312" w:hAnsi="黑体" w:eastAsia="仿宋_GB2312"/>
          <w:sz w:val="32"/>
          <w:szCs w:val="32"/>
          <w:lang w:val="en-US" w:eastAsia="zh-CN"/>
        </w:rPr>
        <w:t>1月1日至2023年12月31日</w:t>
      </w:r>
      <w:r>
        <w:rPr>
          <w:rFonts w:hint="eastAsia" w:ascii="仿宋_GB2312" w:hAnsi="黑体" w:eastAsia="仿宋_GB2312"/>
          <w:sz w:val="32"/>
          <w:szCs w:val="32"/>
          <w:lang w:eastAsia="zh-CN"/>
        </w:rPr>
        <w:t>,必要时可追溯到以前年度。</w:t>
      </w:r>
      <w:r>
        <w:rPr>
          <w:rFonts w:hint="eastAsia" w:ascii="仿宋_GB2312" w:hAnsi="黑体" w:eastAsia="仿宋_GB2312"/>
          <w:sz w:val="32"/>
          <w:szCs w:val="32"/>
          <w:lang w:val="en-US" w:eastAsia="zh-CN"/>
        </w:rPr>
        <w:t>国家机关、事业单位、社会团体及其他组织方面。重点关注政府会计准则制度的贯彻实施、民间非营利组织会计制度的执行、单位内部控制制度的建立和执行情况，以及被检举违反《中华人民共和国会计法》和国家统一的会计制度规定的协会、商会、基金会等；重点检查是否依法设置会计账簿、会计资料是否真实及完整、会计核算是否符合《中华人民共和国会计法》和国家统一的会计制度的规定等情况；公司及企业方面。重点关注收入、资产减值、金融工具、合并财务报表等企业会计准则的执行，内部控制制度建立和执行；能源、交通、水利、医疗以及村镇银行、粮食贸易等关系国计民生的行业或领域，重点检查私设会计账簿、伪造或变造会计资料、编制虚假财务会计报告、隐匿或故意销毁依法应当保存的会计资料、利用虚构经济业务或第三方配合等方式实施造假等违法行为；监督检查对象为国有企业的。须重点关注国有企业负责人薪酬制度和工资决定机制改革政策执行情况，及时将检查发现的问题线索移交同级人力资源和社会保障部门等行政机关处理。</w:t>
      </w:r>
    </w:p>
    <w:p w14:paraId="7321C8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i w:val="0"/>
          <w:color w:val="000000"/>
          <w:sz w:val="32"/>
          <w:szCs w:val="32"/>
          <w:u w:val="none"/>
          <w:lang w:eastAsia="zh-CN"/>
        </w:rPr>
      </w:pPr>
      <w:r>
        <w:rPr>
          <w:rFonts w:hint="eastAsia" w:ascii="黑体" w:hAnsi="黑体" w:eastAsia="黑体" w:cs="黑体"/>
          <w:b w:val="0"/>
          <w:i w:val="0"/>
          <w:color w:val="000000"/>
          <w:sz w:val="32"/>
          <w:szCs w:val="32"/>
          <w:u w:val="none"/>
          <w:lang w:val="en-US" w:eastAsia="zh-CN"/>
        </w:rPr>
        <w:t>三</w:t>
      </w:r>
      <w:r>
        <w:rPr>
          <w:rFonts w:hint="eastAsia" w:ascii="黑体" w:hAnsi="黑体" w:eastAsia="黑体" w:cs="黑体"/>
          <w:b w:val="0"/>
          <w:i w:val="0"/>
          <w:color w:val="000000"/>
          <w:sz w:val="32"/>
          <w:szCs w:val="32"/>
          <w:u w:val="none"/>
          <w:lang w:eastAsia="zh-CN"/>
        </w:rPr>
        <w:t>、检查对象</w:t>
      </w:r>
    </w:p>
    <w:p w14:paraId="4A3A1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i w:val="0"/>
          <w:color w:val="000000"/>
          <w:sz w:val="32"/>
          <w:szCs w:val="32"/>
          <w:u w:val="none"/>
          <w:lang w:val="en-US" w:eastAsia="zh-CN"/>
        </w:rPr>
      </w:pPr>
      <w:r>
        <w:rPr>
          <w:rFonts w:hint="eastAsia" w:ascii="仿宋_GB2312" w:hAnsi="仿宋_GB2312" w:eastAsia="仿宋_GB2312" w:cs="仿宋_GB2312"/>
          <w:b w:val="0"/>
          <w:i w:val="0"/>
          <w:color w:val="000000"/>
          <w:sz w:val="32"/>
          <w:szCs w:val="32"/>
          <w:u w:val="none"/>
        </w:rPr>
        <w:t>通过</w:t>
      </w:r>
      <w:r>
        <w:rPr>
          <w:rFonts w:hint="eastAsia" w:ascii="仿宋_GB2312" w:hAnsi="仿宋_GB2312" w:eastAsia="仿宋_GB2312" w:cs="仿宋_GB2312"/>
          <w:b w:val="0"/>
          <w:i w:val="0"/>
          <w:color w:val="000000"/>
          <w:sz w:val="32"/>
          <w:szCs w:val="32"/>
          <w:u w:val="none"/>
          <w:lang w:eastAsia="zh-CN"/>
        </w:rPr>
        <w:t>随机</w:t>
      </w:r>
      <w:r>
        <w:rPr>
          <w:rFonts w:hint="eastAsia" w:ascii="仿宋_GB2312" w:hAnsi="仿宋_GB2312" w:eastAsia="仿宋_GB2312" w:cs="仿宋_GB2312"/>
          <w:b w:val="0"/>
          <w:i w:val="0"/>
          <w:color w:val="000000"/>
          <w:sz w:val="32"/>
          <w:szCs w:val="32"/>
          <w:u w:val="none"/>
        </w:rPr>
        <w:t>抽取确定</w:t>
      </w:r>
      <w:r>
        <w:rPr>
          <w:rFonts w:hint="eastAsia" w:ascii="仿宋_GB2312" w:hAnsi="仿宋_GB2312" w:eastAsia="仿宋_GB2312" w:cs="仿宋_GB2312"/>
          <w:b w:val="0"/>
          <w:i w:val="0"/>
          <w:color w:val="000000"/>
          <w:sz w:val="32"/>
          <w:szCs w:val="32"/>
          <w:u w:val="none"/>
          <w:lang w:eastAsia="zh-CN"/>
        </w:rPr>
        <w:t>检查机构</w:t>
      </w:r>
      <w:r>
        <w:rPr>
          <w:rFonts w:hint="eastAsia" w:ascii="仿宋_GB2312" w:hAnsi="仿宋_GB2312" w:eastAsia="仿宋_GB2312" w:cs="仿宋_GB2312"/>
          <w:b w:val="0"/>
          <w:i w:val="0"/>
          <w:color w:val="000000"/>
          <w:sz w:val="32"/>
          <w:szCs w:val="32"/>
          <w:u w:val="none"/>
          <w:lang w:val="en-US" w:eastAsia="zh-CN"/>
        </w:rPr>
        <w:t>名单见下表:</w:t>
      </w:r>
    </w:p>
    <w:tbl>
      <w:tblPr>
        <w:tblStyle w:val="2"/>
        <w:tblW w:w="10132"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966"/>
        <w:gridCol w:w="5062"/>
      </w:tblGrid>
      <w:tr w14:paraId="4A7A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exact"/>
        </w:trPr>
        <w:tc>
          <w:tcPr>
            <w:tcW w:w="10132" w:type="dxa"/>
            <w:gridSpan w:val="3"/>
            <w:tcBorders>
              <w:top w:val="nil"/>
              <w:left w:val="nil"/>
              <w:bottom w:val="nil"/>
              <w:right w:val="nil"/>
            </w:tcBorders>
            <w:shd w:val="clear" w:color="auto" w:fill="auto"/>
            <w:vAlign w:val="center"/>
          </w:tcPr>
          <w:p w14:paraId="29CAD2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36"/>
                <w:szCs w:val="36"/>
                <w:u w:val="none"/>
                <w:lang w:val="en-US" w:eastAsia="zh-CN" w:bidi="ar"/>
              </w:rPr>
              <w:t>2024年会计信息质量监督检查随机抽取结果名单</w:t>
            </w:r>
            <w:r>
              <w:rPr>
                <w:rFonts w:hint="eastAsia" w:ascii="宋体" w:hAnsi="宋体" w:eastAsia="宋体" w:cs="宋体"/>
                <w:i w:val="0"/>
                <w:iCs w:val="0"/>
                <w:color w:val="000000"/>
                <w:kern w:val="0"/>
                <w:sz w:val="44"/>
                <w:szCs w:val="44"/>
                <w:u w:val="none"/>
                <w:lang w:val="en-US" w:eastAsia="zh-CN" w:bidi="ar"/>
              </w:rPr>
              <w:t xml:space="preserve"> </w:t>
            </w:r>
          </w:p>
        </w:tc>
      </w:tr>
      <w:tr w14:paraId="1684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C9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16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机构名单</w:t>
            </w:r>
          </w:p>
        </w:tc>
        <w:tc>
          <w:tcPr>
            <w:tcW w:w="5062" w:type="dxa"/>
            <w:tcBorders>
              <w:top w:val="single" w:color="000000" w:sz="4" w:space="0"/>
              <w:left w:val="nil"/>
              <w:bottom w:val="single" w:color="000000" w:sz="4" w:space="0"/>
              <w:right w:val="single" w:color="000000" w:sz="4" w:space="0"/>
            </w:tcBorders>
            <w:shd w:val="clear" w:color="auto" w:fill="auto"/>
            <w:noWrap/>
            <w:vAlign w:val="center"/>
          </w:tcPr>
          <w:p w14:paraId="6EE63131">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备注</w:t>
            </w:r>
          </w:p>
        </w:tc>
      </w:tr>
      <w:tr w14:paraId="38D1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restart"/>
            <w:tcBorders>
              <w:top w:val="single" w:color="000000" w:sz="4" w:space="0"/>
              <w:left w:val="single" w:color="000000" w:sz="4" w:space="0"/>
              <w:right w:val="single" w:color="000000" w:sz="4" w:space="0"/>
            </w:tcBorders>
            <w:shd w:val="clear" w:color="auto" w:fill="auto"/>
            <w:noWrap/>
            <w:vAlign w:val="center"/>
          </w:tcPr>
          <w:p w14:paraId="30C66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085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科技工信局</w:t>
            </w:r>
          </w:p>
        </w:tc>
        <w:tc>
          <w:tcPr>
            <w:tcW w:w="5062" w:type="dxa"/>
            <w:vMerge w:val="restart"/>
            <w:tcBorders>
              <w:top w:val="single" w:color="000000" w:sz="4" w:space="0"/>
              <w:left w:val="nil"/>
              <w:right w:val="single" w:color="000000" w:sz="4" w:space="0"/>
            </w:tcBorders>
            <w:shd w:val="clear" w:color="auto" w:fill="auto"/>
            <w:noWrap/>
            <w:vAlign w:val="center"/>
          </w:tcPr>
          <w:p w14:paraId="38C8CB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2个行政机关</w:t>
            </w:r>
          </w:p>
        </w:tc>
      </w:tr>
      <w:tr w14:paraId="2D3C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continue"/>
            <w:tcBorders>
              <w:left w:val="single" w:color="000000" w:sz="4" w:space="0"/>
              <w:bottom w:val="single" w:color="000000" w:sz="4" w:space="0"/>
              <w:right w:val="single" w:color="000000" w:sz="4" w:space="0"/>
            </w:tcBorders>
            <w:shd w:val="clear" w:color="auto" w:fill="auto"/>
            <w:noWrap/>
            <w:vAlign w:val="center"/>
          </w:tcPr>
          <w:p w14:paraId="29F5C3D3">
            <w:pPr>
              <w:keepNext w:val="0"/>
              <w:keepLines w:val="0"/>
              <w:widowControl/>
              <w:suppressLineNumbers w:val="0"/>
              <w:jc w:val="center"/>
              <w:textAlignment w:val="center"/>
            </w:pPr>
          </w:p>
        </w:tc>
        <w:tc>
          <w:tcPr>
            <w:tcW w:w="3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238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自然资源和规划局</w:t>
            </w:r>
          </w:p>
        </w:tc>
        <w:tc>
          <w:tcPr>
            <w:tcW w:w="5062" w:type="dxa"/>
            <w:vMerge w:val="continue"/>
            <w:tcBorders>
              <w:left w:val="nil"/>
              <w:right w:val="single" w:color="000000" w:sz="4" w:space="0"/>
            </w:tcBorders>
            <w:shd w:val="clear" w:color="auto" w:fill="auto"/>
            <w:noWrap/>
            <w:vAlign w:val="center"/>
          </w:tcPr>
          <w:p w14:paraId="158625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9CF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restart"/>
            <w:tcBorders>
              <w:top w:val="single" w:color="000000" w:sz="4" w:space="0"/>
              <w:left w:val="single" w:color="000000" w:sz="4" w:space="0"/>
              <w:right w:val="single" w:color="000000" w:sz="4" w:space="0"/>
            </w:tcBorders>
            <w:shd w:val="clear" w:color="auto" w:fill="auto"/>
            <w:noWrap/>
            <w:vAlign w:val="center"/>
          </w:tcPr>
          <w:p w14:paraId="6FC1D8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236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南宫市乐信财税服务有限公司</w:t>
            </w:r>
          </w:p>
        </w:tc>
        <w:tc>
          <w:tcPr>
            <w:tcW w:w="5062" w:type="dxa"/>
            <w:vMerge w:val="restart"/>
            <w:tcBorders>
              <w:top w:val="single" w:color="000000" w:sz="4" w:space="0"/>
              <w:left w:val="nil"/>
              <w:right w:val="single" w:color="000000" w:sz="4" w:space="0"/>
            </w:tcBorders>
            <w:shd w:val="clear" w:color="auto" w:fill="auto"/>
            <w:noWrap/>
            <w:vAlign w:val="center"/>
          </w:tcPr>
          <w:p w14:paraId="1AD3CAD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3家代理记账机构</w:t>
            </w:r>
          </w:p>
        </w:tc>
      </w:tr>
      <w:tr w14:paraId="2A70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continue"/>
            <w:tcBorders>
              <w:left w:val="single" w:color="000000" w:sz="4" w:space="0"/>
              <w:right w:val="single" w:color="000000" w:sz="4" w:space="0"/>
            </w:tcBorders>
            <w:shd w:val="clear" w:color="auto" w:fill="auto"/>
            <w:noWrap/>
            <w:vAlign w:val="center"/>
          </w:tcPr>
          <w:p w14:paraId="1202181A">
            <w:pPr>
              <w:keepNext w:val="0"/>
              <w:keepLines w:val="0"/>
              <w:widowControl/>
              <w:suppressLineNumbers w:val="0"/>
              <w:jc w:val="center"/>
              <w:textAlignment w:val="cente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6269">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南宫市元德会计服务有限公司</w:t>
            </w:r>
          </w:p>
        </w:tc>
        <w:tc>
          <w:tcPr>
            <w:tcW w:w="5062" w:type="dxa"/>
            <w:vMerge w:val="continue"/>
            <w:tcBorders>
              <w:left w:val="nil"/>
              <w:right w:val="single" w:color="000000" w:sz="4" w:space="0"/>
            </w:tcBorders>
            <w:shd w:val="clear" w:color="auto" w:fill="auto"/>
            <w:noWrap/>
            <w:vAlign w:val="center"/>
          </w:tcPr>
          <w:p w14:paraId="3F8B3B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47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vMerge w:val="continue"/>
            <w:tcBorders>
              <w:left w:val="single" w:color="000000" w:sz="4" w:space="0"/>
              <w:bottom w:val="single" w:color="000000" w:sz="4" w:space="0"/>
              <w:right w:val="single" w:color="000000" w:sz="4" w:space="0"/>
            </w:tcBorders>
            <w:shd w:val="clear" w:color="auto" w:fill="auto"/>
            <w:noWrap/>
            <w:vAlign w:val="center"/>
          </w:tcPr>
          <w:p w14:paraId="7D32D6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B2C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南宫市易利商务服务有限公司</w:t>
            </w:r>
          </w:p>
        </w:tc>
        <w:tc>
          <w:tcPr>
            <w:tcW w:w="5062" w:type="dxa"/>
            <w:vMerge w:val="continue"/>
            <w:tcBorders>
              <w:left w:val="nil"/>
              <w:bottom w:val="single" w:color="000000" w:sz="4" w:space="0"/>
              <w:right w:val="single" w:color="000000" w:sz="4" w:space="0"/>
            </w:tcBorders>
            <w:shd w:val="clear" w:color="auto" w:fill="auto"/>
            <w:noWrap/>
            <w:vAlign w:val="center"/>
          </w:tcPr>
          <w:p w14:paraId="4728C4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07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7B2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3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0B7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河北省南宫省级粮食储备有限公司</w:t>
            </w:r>
          </w:p>
        </w:tc>
        <w:tc>
          <w:tcPr>
            <w:tcW w:w="5062" w:type="dxa"/>
            <w:tcBorders>
              <w:top w:val="single" w:color="000000" w:sz="4" w:space="0"/>
              <w:left w:val="nil"/>
              <w:bottom w:val="single" w:color="000000" w:sz="4" w:space="0"/>
              <w:right w:val="single" w:color="000000" w:sz="4" w:space="0"/>
            </w:tcBorders>
            <w:shd w:val="clear" w:color="auto" w:fill="auto"/>
            <w:vAlign w:val="center"/>
          </w:tcPr>
          <w:p w14:paraId="0866FED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1家国有企业</w:t>
            </w:r>
          </w:p>
        </w:tc>
      </w:tr>
    </w:tbl>
    <w:p w14:paraId="27EF88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val="en-US" w:eastAsia="zh-CN"/>
        </w:rPr>
      </w:pPr>
    </w:p>
    <w:p w14:paraId="5E3307B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i w:val="0"/>
          <w:color w:val="000000"/>
          <w:sz w:val="32"/>
          <w:szCs w:val="32"/>
          <w:u w:val="none"/>
          <w:lang w:val="en-US" w:eastAsia="zh-CN"/>
        </w:rPr>
      </w:pPr>
      <w:r>
        <w:rPr>
          <w:rFonts w:hint="eastAsia" w:ascii="黑体" w:hAnsi="黑体" w:eastAsia="黑体" w:cs="黑体"/>
          <w:b w:val="0"/>
          <w:i w:val="0"/>
          <w:color w:val="000000"/>
          <w:sz w:val="32"/>
          <w:szCs w:val="32"/>
          <w:u w:val="none"/>
          <w:lang w:val="en-US" w:eastAsia="zh-CN"/>
        </w:rPr>
        <w:t>检查结果</w:t>
      </w:r>
    </w:p>
    <w:p w14:paraId="626F40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此次检查共涉及2个行政机关、3家代理记账机构和1家国有企业，主要问题有：</w:t>
      </w:r>
    </w:p>
    <w:p w14:paraId="6A5E93D0">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1.未依法取得原始凭证。如存货凭证后无出入库单据、原始凭证不完整等；</w:t>
      </w:r>
    </w:p>
    <w:p w14:paraId="4A2F7A56">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2.原始凭证不合规。如签字盖章等手续不完整、、销售凭证出库单与开票信息不一致、无银行回单等。</w:t>
      </w:r>
    </w:p>
    <w:p w14:paraId="23D840A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3.会计科目不规范。如工资福利支出下未设置明细科目、发放工资没有工资表、水电费没有发票，白条入账、税款不规范、会计核算错误等。</w:t>
      </w:r>
    </w:p>
    <w:p w14:paraId="6B4D5D71">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4.资产管理不规范。如未设置固定资产台账、固定资产中评估资产没有明细、少计资产多记费用等。</w:t>
      </w:r>
    </w:p>
    <w:p w14:paraId="301C7DC3">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5.其他问题。包括内部控制制度建设不健全、财务报表填列不规范等。</w:t>
      </w:r>
    </w:p>
    <w:p w14:paraId="19BFC0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outlineLvl w:val="9"/>
        <w:rPr>
          <w:rFonts w:hint="eastAsia" w:ascii="仿宋_GB2312" w:hAnsi="黑体" w:eastAsia="仿宋_GB2312"/>
          <w:sz w:val="32"/>
          <w:szCs w:val="32"/>
          <w:lang w:val="en-US" w:eastAsia="zh-CN"/>
        </w:rPr>
      </w:pPr>
      <w:r>
        <w:rPr>
          <w:rFonts w:hint="eastAsia" w:ascii="仿宋_GB2312" w:eastAsia="仿宋_GB2312"/>
          <w:sz w:val="32"/>
          <w:szCs w:val="32"/>
        </w:rPr>
        <w:t>本次检查发现，大部分被检查单位能够严格按照国家会计准则和相关法律法规进行会计核算，会计信息质量整体较高。</w:t>
      </w:r>
      <w:r>
        <w:rPr>
          <w:rFonts w:hint="eastAsia" w:ascii="仿宋_GB2312" w:eastAsia="仿宋_GB2312"/>
          <w:sz w:val="32"/>
          <w:szCs w:val="32"/>
          <w:lang w:val="en-US" w:eastAsia="zh-CN"/>
        </w:rPr>
        <w:t>但</w:t>
      </w:r>
      <w:r>
        <w:rPr>
          <w:rFonts w:hint="eastAsia" w:ascii="仿宋_GB2312" w:eastAsia="仿宋_GB2312"/>
          <w:sz w:val="32"/>
          <w:szCs w:val="32"/>
        </w:rPr>
        <w:t>也发现了一些问题，如个别单位存在会计核算不规范、</w:t>
      </w:r>
      <w:r>
        <w:rPr>
          <w:rFonts w:hint="eastAsia" w:ascii="仿宋_GB2312" w:hAnsi="仿宋_GB2312" w:eastAsia="仿宋_GB2312" w:cs="仿宋_GB2312"/>
          <w:sz w:val="32"/>
          <w:szCs w:val="32"/>
          <w:lang w:val="en-US" w:eastAsia="zh-CN"/>
        </w:rPr>
        <w:t>原始凭证不合规</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资产管理不规范</w:t>
      </w:r>
      <w:r>
        <w:rPr>
          <w:rFonts w:hint="eastAsia" w:ascii="仿宋_GB2312" w:eastAsia="仿宋_GB2312"/>
          <w:sz w:val="32"/>
          <w:szCs w:val="32"/>
        </w:rPr>
        <w:t>等问题。我们将继续加强会计信息质量监督检查工作，</w:t>
      </w:r>
      <w:r>
        <w:rPr>
          <w:rFonts w:hint="eastAsia" w:ascii="仿宋_GB2312" w:hAnsi="黑体" w:eastAsia="仿宋_GB2312"/>
          <w:sz w:val="32"/>
          <w:szCs w:val="32"/>
          <w:lang w:val="en-US" w:eastAsia="zh-CN"/>
        </w:rPr>
        <w:t>以上问题发回给各单位并督促加以整改，</w:t>
      </w:r>
      <w:r>
        <w:rPr>
          <w:rFonts w:hint="eastAsia" w:ascii="仿宋_GB2312" w:eastAsia="仿宋_GB2312"/>
          <w:sz w:val="32"/>
          <w:szCs w:val="32"/>
        </w:rPr>
        <w:t>推动各单位不断提升会计信息质量，为经济社会发展提供有力支撑</w:t>
      </w:r>
      <w:r>
        <w:rPr>
          <w:rFonts w:hint="eastAsia" w:ascii="仿宋_GB2312" w:eastAsia="仿宋_GB2312"/>
          <w:sz w:val="32"/>
          <w:szCs w:val="32"/>
          <w:lang w:eastAsia="zh-CN"/>
        </w:rPr>
        <w:t>、</w:t>
      </w:r>
    </w:p>
    <w:p w14:paraId="502FB6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以上公示事项欢迎社会各界和公众监督。</w:t>
      </w:r>
    </w:p>
    <w:p w14:paraId="3993A78D">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outlineLvl w:val="9"/>
        <w:rPr>
          <w:rFonts w:hint="eastAsia" w:ascii="仿宋_GB2312" w:hAnsi="黑体" w:eastAsia="仿宋_GB2312"/>
          <w:sz w:val="32"/>
          <w:szCs w:val="32"/>
          <w:lang w:val="en-US" w:eastAsia="zh-CN"/>
        </w:rPr>
      </w:pPr>
    </w:p>
    <w:p w14:paraId="16EC38AA">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outlineLvl w:val="9"/>
        <w:rPr>
          <w:rFonts w:hint="eastAsia" w:ascii="仿宋_GB2312" w:hAnsi="黑体" w:eastAsia="仿宋_GB2312"/>
          <w:sz w:val="32"/>
          <w:szCs w:val="32"/>
          <w:lang w:val="en-US" w:eastAsia="zh-CN"/>
        </w:rPr>
      </w:pPr>
    </w:p>
    <w:p w14:paraId="778C042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黑体" w:eastAsia="仿宋_GB2312"/>
          <w:sz w:val="32"/>
          <w:szCs w:val="32"/>
          <w:lang w:val="en-US" w:eastAsia="zh-CN"/>
        </w:rPr>
      </w:pPr>
    </w:p>
    <w:p w14:paraId="6E7D7256">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监督电话：0319-5287805，南宫市财</w:t>
      </w:r>
      <w:bookmarkStart w:id="0" w:name="_GoBack"/>
      <w:bookmarkEnd w:id="0"/>
      <w:r>
        <w:rPr>
          <w:rFonts w:hint="eastAsia" w:ascii="仿宋_GB2312" w:hAnsi="黑体" w:eastAsia="仿宋_GB2312"/>
          <w:sz w:val="32"/>
          <w:szCs w:val="32"/>
          <w:lang w:val="en-US" w:eastAsia="zh-CN"/>
        </w:rPr>
        <w:t>政局。</w:t>
      </w:r>
    </w:p>
    <w:p w14:paraId="64BD4BCB">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p>
    <w:p w14:paraId="3802BD44">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p>
    <w:p w14:paraId="50C6A03C">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2024年10月22日</w:t>
      </w:r>
    </w:p>
    <w:sectPr>
      <w:pgSz w:w="11906" w:h="16838"/>
      <w:pgMar w:top="1701" w:right="1417" w:bottom="1701"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FA309"/>
    <w:multiLevelType w:val="singleLevel"/>
    <w:tmpl w:val="26DFA3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ZjE1ZjU2YTVmMzQyMDgwZDJiYzIzOGYwOGQ4NWQifQ=="/>
  </w:docVars>
  <w:rsids>
    <w:rsidRoot w:val="00000000"/>
    <w:rsid w:val="1A1F1582"/>
    <w:rsid w:val="43912FFF"/>
    <w:rsid w:val="53BF7A5E"/>
    <w:rsid w:val="7804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1256</Words>
  <Characters>1308</Characters>
  <Lines>0</Lines>
  <Paragraphs>0</Paragraphs>
  <TotalTime>2</TotalTime>
  <ScaleCrop>false</ScaleCrop>
  <LinksUpToDate>false</LinksUpToDate>
  <CharactersWithSpaces>1310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2024-06-05T07:47:00Z</dcterms:created>
  <dc:creator>联想</dc:creator>
  <cp:lastModifiedBy>联想</cp:lastModifiedBy>
  <cp:lastPrinted>2024-06-05T09:17:00Z</cp:lastPrinted>
  <dcterms:modified xsi:type="dcterms:W3CDTF">2024-11-15T03:05:38Z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250B06C4554641C8B53F2E9E1D7C2BCC_13</vt:lpwstr>
  </property>
</Properties>
</file>