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/>
        </w:rPr>
        <w:t>中共南宫市南杜街道</w:t>
      </w:r>
      <w:r>
        <w:rPr>
          <w:rFonts w:hint="eastAsia" w:ascii="Times New Roman" w:hAnsi="Times New Roman" w:eastAsia="华文中宋" w:cs="Times New Roman"/>
          <w:spacing w:val="0"/>
          <w:kern w:val="0"/>
          <w:sz w:val="44"/>
          <w:szCs w:val="44"/>
          <w:lang w:val="en-US" w:eastAsia="zh-CN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南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宫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南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杜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街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道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办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事</w:t>
      </w:r>
      <w:r>
        <w:rPr>
          <w:rFonts w:hint="eastAsia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pacing w:val="-6"/>
          <w:kern w:val="0"/>
          <w:sz w:val="44"/>
          <w:szCs w:val="44"/>
          <w:lang w:val="en-US"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/>
        </w:rPr>
        <w:t>关于2024年度法治政府建设情况报告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今年以来，在市委、市政府的坚强领导下，南杜街道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办事处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坚持以习近平新时代中国特色社会主义思想为指导，全面贯彻党的二十大及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二十届三中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全会精神，深入践行习近平总书记全面依法治国新理念，扎实推进法治建设，不断提升普法依法治理能力，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法治建设水平不断提高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。现将本年度法治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建设情况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报告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一、工作开展情况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（一）加强组织领导，完善法治建设体系。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成立由党工委书记任组长的法治建设领导小组，将法治建设纳入党工委重要工作日程，坚持将法治工作与中心工作同研究、同部署、同落实。制定详细的法治建设工作计划和实施方案，进一步明确法治建设工作责任、落实具体责任、确定任务目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强化制度执行</w:t>
      </w:r>
      <w:r>
        <w:rPr>
          <w:rFonts w:hint="default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扎实</w:t>
      </w:r>
      <w:r>
        <w:rPr>
          <w:rFonts w:hint="default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推进依法行政</w:t>
      </w: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加强理论学习，组织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全体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干部开展依法行政主题宣传活动，深入学习《中华人民共和国宪法》《中华人民共和国民法典》等法律法规，提高干部依法行政意识和能力。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完善行政执法公示、告知等制度，强化行政执法证件管理，对行政执法人员资格进行重新审查、确认并组织培训，确保行政执法人员全部持证上岗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全面推进重大执法决定法治建设审核制度，对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工作中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的重点难点问题、群众关心的热点问题等重大事项，贯彻民主集中制，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由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集体讨论决定，确保决策合法合规。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spacing w:val="0"/>
          <w:kern w:val="0"/>
          <w:sz w:val="32"/>
          <w:szCs w:val="32"/>
          <w:highlight w:val="none"/>
          <w:lang w:val="en-US" w:eastAsia="zh-CN" w:bidi="ar"/>
        </w:rPr>
        <w:t>（三）强化普法宣传，提高全民法治意识</w:t>
      </w: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积极开展“平安建设进万家”等普法宣传活动，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每月组织网格员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进村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入户进行普法宣传，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通过悬挂宣传横幅、粘贴标语、发放宣传资料等形式，广泛宣传法律法规知识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今年共计走访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3600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。同时，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充分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利用微信、微博等新媒体平台开展线上普法宣传，提高普法宣传的覆盖面和影响力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spacing w:val="0"/>
          <w:kern w:val="0"/>
          <w:sz w:val="32"/>
          <w:szCs w:val="32"/>
          <w:highlight w:val="none"/>
          <w:lang w:val="en-US" w:eastAsia="zh-CN" w:bidi="ar"/>
        </w:rPr>
        <w:t>（四）强化纠纷调解，维护社会和谐稳定</w:t>
      </w: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0"/>
          <w:sz w:val="32"/>
          <w:szCs w:val="32"/>
          <w:highlight w:val="none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坚持发展新时代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枫桥经验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建立矛盾纠纷排查调处机制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，全面推进矛盾纠纷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网格化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管理，指导村级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网格员加大矛盾纠纷排查化解，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共计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调解矛盾纠纷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5056条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 w:bidi="ar-SA"/>
        </w:rPr>
        <w:t>‌。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妥善化解信访案件，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充分落实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三到位一处理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”工作要求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，将信访纳入法治化轨道，保障合理合法诉求依照法律规定和程序得到合理合法解决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完善基层矛盾纠纷调处化解机制，通过分类处理信访投诉请求，积极引导信访人通过法定途径表达诉求、解决问题。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二、存在问题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通过对当前法治建设工作的总结和思考，南杜街道在以下三方面还需再提高：一是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普法宣传形式还不够丰富多样，需要进一步加强创新和改进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；二是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部分干部群众对法律法规的理解和应用能力还有待提高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；三是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法治队伍建设还需要进一步加强和完善。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三、下一步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工作</w:t>
      </w:r>
      <w:r>
        <w:rPr>
          <w:rFonts w:hint="default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计划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（一）创新普法宣传形式和内容。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充分利用电子屏、海报、宣传栏、墙绘、视频、小喇叭等方式广泛宣传法治政府建设的政策与法律法规，开展群众喜闻乐见的各种形式的法治宣传活动，形成线上线下相结合的普法宣传格局。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default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探索重大决策与群众互动更多途径。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用足用好政务公开平台，在重大决策之前充分征求尊重意见，激发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群众参与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决策的积极性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，使其合理意见得到充分表达、合法诉求得到充分体现。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加强法治队伍建设和管理</w:t>
      </w: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完善执法人员的选拔、培训、考核和奖惩机制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加强对执法人员的监督和管理，确保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执法队员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严格依法办事、公正执法、文明执法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，建设一只懂法、用法、守法的执法铁军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984" w:left="153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2U0OTcyOGQyYjVhODIzMzIwNDQ4ZmNlYTg5M2QifQ=="/>
    <w:docVar w:name="KSO_WPS_MARK_KEY" w:val="39e6a3dd-8c1c-4162-bc06-93520b190f69"/>
  </w:docVars>
  <w:rsids>
    <w:rsidRoot w:val="7B4870F0"/>
    <w:rsid w:val="0159513E"/>
    <w:rsid w:val="018249E8"/>
    <w:rsid w:val="02E51C21"/>
    <w:rsid w:val="05940A68"/>
    <w:rsid w:val="0C9B1273"/>
    <w:rsid w:val="0FAC3502"/>
    <w:rsid w:val="11CF3B07"/>
    <w:rsid w:val="12445622"/>
    <w:rsid w:val="1A4C6BF6"/>
    <w:rsid w:val="1A9A2283"/>
    <w:rsid w:val="1AD25EC1"/>
    <w:rsid w:val="1BCF2401"/>
    <w:rsid w:val="1DA33B45"/>
    <w:rsid w:val="1E530BE4"/>
    <w:rsid w:val="1F9A6ABF"/>
    <w:rsid w:val="200F7275"/>
    <w:rsid w:val="22100FCB"/>
    <w:rsid w:val="24012A33"/>
    <w:rsid w:val="271F664C"/>
    <w:rsid w:val="2E2458DD"/>
    <w:rsid w:val="366A7B8A"/>
    <w:rsid w:val="39706EC7"/>
    <w:rsid w:val="3A4E244A"/>
    <w:rsid w:val="3C5105A8"/>
    <w:rsid w:val="44452573"/>
    <w:rsid w:val="46140CF2"/>
    <w:rsid w:val="472D497A"/>
    <w:rsid w:val="4A5E2A1E"/>
    <w:rsid w:val="4B571947"/>
    <w:rsid w:val="4BE83751"/>
    <w:rsid w:val="4E093C24"/>
    <w:rsid w:val="571903F8"/>
    <w:rsid w:val="5E0314BA"/>
    <w:rsid w:val="60B21B78"/>
    <w:rsid w:val="616F7EE9"/>
    <w:rsid w:val="6EC2278E"/>
    <w:rsid w:val="70E62CA2"/>
    <w:rsid w:val="71386CCF"/>
    <w:rsid w:val="727E6F0A"/>
    <w:rsid w:val="78C23FF4"/>
    <w:rsid w:val="7B4870F0"/>
    <w:rsid w:val="7E5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1331</Words>
  <Characters>1344</Characters>
  <Lines>0</Lines>
  <Paragraphs>0</Paragraphs>
  <TotalTime>14</TotalTime>
  <ScaleCrop>false</ScaleCrop>
  <LinksUpToDate>false</LinksUpToDate>
  <CharactersWithSpaces>1366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2024-12-02T07:41:00Z</dcterms:created>
  <dc:creator>辉</dc:creator>
  <cp:lastModifiedBy>F&amp;F</cp:lastModifiedBy>
  <cp:lastPrinted>2024-12-03T07:17:00Z</cp:lastPrinted>
  <dcterms:modified xsi:type="dcterms:W3CDTF">2025-01-15T08:29:00Z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B6B103C11E5B4B03AC4979D08F35A7E8_13</vt:lpwstr>
  </property>
  <property fmtid="{D5CDD505-2E9C-101B-9397-08002B2CF9AE}" pid="4" name="KSOTemplateDocerSaveRecord">
    <vt:lpwstr>eyJoZGlkIjoiZjM1NjE3ZmRmNmUzMzUwYzk3YTFlMmEyYWIyZmNhYjYiLCJ1c2VySWQiOiI0MjU3Nzg5NjkifQ==</vt:lpwstr>
  </property>
</Properties>
</file>