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7009">
      <w:pPr>
        <w:spacing w:line="500" w:lineRule="exact"/>
        <w:jc w:val="center"/>
        <w:rPr>
          <w:rFonts w:ascii="宋体" w:cs="宋体"/>
          <w:b/>
          <w:bCs/>
          <w:sz w:val="32"/>
          <w:szCs w:val="32"/>
        </w:rPr>
      </w:pPr>
    </w:p>
    <w:p w14:paraId="0A318686">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仿宋_GB2312" w:eastAsia="方正小标宋简体"/>
          <w:sz w:val="32"/>
          <w:szCs w:val="32"/>
          <w:lang w:val="en-US" w:eastAsia="zh-CN"/>
        </w:rPr>
      </w:pPr>
      <w:bookmarkStart w:id="0" w:name="_GoBack"/>
      <w:bookmarkEnd w:id="0"/>
      <w:r>
        <w:rPr>
          <w:rFonts w:hint="eastAsia" w:ascii="方正小标宋简体" w:hAnsi="方正小标宋简体" w:eastAsia="方正小标宋简体" w:cs="方正小标宋简体"/>
          <w:b w:val="0"/>
          <w:bCs/>
          <w:spacing w:val="0"/>
          <w:sz w:val="44"/>
          <w:szCs w:val="44"/>
          <w:lang w:val="en-US" w:eastAsia="zh-CN"/>
        </w:rPr>
        <w:t xml:space="preserve">   </w:t>
      </w:r>
      <w:r>
        <w:rPr>
          <w:rFonts w:hint="eastAsia" w:ascii="方正小标宋简体" w:hAnsi="方正小标宋简体" w:eastAsia="方正小标宋简体" w:cs="方正小标宋简体"/>
          <w:b w:val="0"/>
          <w:bCs/>
          <w:spacing w:val="0"/>
          <w:sz w:val="44"/>
          <w:szCs w:val="44"/>
        </w:rPr>
        <w:t>关于</w:t>
      </w:r>
      <w:r>
        <w:rPr>
          <w:rFonts w:hint="eastAsia" w:ascii="方正小标宋简体" w:hAnsi="方正小标宋简体" w:eastAsia="方正小标宋简体" w:cs="方正小标宋简体"/>
          <w:b w:val="0"/>
          <w:bCs/>
          <w:spacing w:val="0"/>
          <w:sz w:val="44"/>
          <w:szCs w:val="44"/>
          <w:lang w:val="en-US" w:eastAsia="zh-CN"/>
        </w:rPr>
        <w:t>对《南宫市行政审批局行政裁决事项清单（2025年版）》</w:t>
      </w:r>
      <w:r>
        <w:rPr>
          <w:rFonts w:hint="eastAsia" w:ascii="方正小标宋简体" w:hAnsi="方正小标宋简体" w:eastAsia="方正小标宋简体" w:cs="方正小标宋简体"/>
          <w:b w:val="0"/>
          <w:bCs/>
          <w:spacing w:val="0"/>
          <w:sz w:val="44"/>
          <w:szCs w:val="44"/>
        </w:rPr>
        <w:t>的</w:t>
      </w:r>
      <w:r>
        <w:rPr>
          <w:rFonts w:hint="eastAsia" w:ascii="方正小标宋简体" w:hAnsi="方正小标宋简体" w:eastAsia="方正小标宋简体" w:cs="方正小标宋简体"/>
          <w:b w:val="0"/>
          <w:bCs/>
          <w:spacing w:val="0"/>
          <w:sz w:val="44"/>
          <w:szCs w:val="44"/>
          <w:lang w:val="en-US" w:eastAsia="zh-CN"/>
        </w:rPr>
        <w:t>公告</w:t>
      </w:r>
    </w:p>
    <w:p w14:paraId="1C2997BB">
      <w:pPr>
        <w:ind w:firstLine="608" w:firstLineChars="200"/>
        <w:rPr>
          <w:rFonts w:hint="eastAsia" w:ascii="仿宋_GB2312" w:eastAsia="仿宋_GB2312"/>
          <w:sz w:val="32"/>
          <w:szCs w:val="32"/>
          <w:lang w:val="en-US" w:eastAsia="zh-CN"/>
        </w:rPr>
      </w:pPr>
    </w:p>
    <w:p w14:paraId="4152F893">
      <w:pPr>
        <w:ind w:firstLine="608"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为积极推进行政裁决工作，按照《南宫市司法局关于印发南宫市行政裁决事项清单(2025年版)的通知》要求，现将涉及我局实施的行政裁决事项清单向社会公布。请广大企业群众予以监督。</w:t>
      </w:r>
    </w:p>
    <w:p w14:paraId="4D9C399A">
      <w:pPr>
        <w:ind w:firstLine="608"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特此公告</w:t>
      </w:r>
    </w:p>
    <w:p w14:paraId="7DE8045A">
      <w:pPr>
        <w:ind w:firstLine="608" w:firstLineChars="200"/>
        <w:rPr>
          <w:rFonts w:hint="eastAsia" w:ascii="仿宋_GB2312" w:eastAsia="仿宋_GB2312"/>
          <w:sz w:val="32"/>
          <w:szCs w:val="32"/>
          <w:lang w:val="en-US" w:eastAsia="zh-CN"/>
        </w:rPr>
      </w:pPr>
    </w:p>
    <w:p w14:paraId="3246D186">
      <w:pPr>
        <w:ind w:firstLine="608"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附件：南宫市行政审批局行政裁决事项清单（2025年版）</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14:paraId="076E3D43">
      <w:pPr>
        <w:ind w:firstLine="5472" w:firstLineChars="1800"/>
        <w:rPr>
          <w:rFonts w:hint="eastAsia" w:ascii="仿宋_GB2312" w:eastAsia="仿宋_GB2312"/>
          <w:sz w:val="32"/>
          <w:szCs w:val="32"/>
        </w:rPr>
      </w:pPr>
    </w:p>
    <w:p w14:paraId="4103D073">
      <w:pPr>
        <w:ind w:firstLine="5472" w:firstLineChars="1800"/>
        <w:rPr>
          <w:rFonts w:hint="eastAsia" w:ascii="仿宋_GB2312" w:eastAsia="仿宋_GB2312"/>
          <w:sz w:val="32"/>
          <w:szCs w:val="32"/>
        </w:rPr>
      </w:pPr>
      <w:r>
        <w:rPr>
          <w:rFonts w:hint="eastAsia" w:ascii="仿宋_GB2312" w:eastAsia="仿宋_GB2312"/>
          <w:sz w:val="32"/>
          <w:szCs w:val="32"/>
        </w:rPr>
        <w:t>南宫市行政审批局</w:t>
      </w:r>
    </w:p>
    <w:p w14:paraId="3161FD59">
      <w:pPr>
        <w:tabs>
          <w:tab w:val="left" w:pos="7200"/>
          <w:tab w:val="left" w:pos="7560"/>
        </w:tabs>
        <w:ind w:firstLine="5472" w:firstLineChars="1800"/>
        <w:rPr>
          <w:rFonts w:hint="eastAsia" w:ascii="仿宋_GB2312" w:eastAsia="仿宋_GB2312"/>
          <w:sz w:val="32"/>
          <w:szCs w:val="32"/>
        </w:rPr>
        <w:sectPr>
          <w:footerReference r:id="rId3" w:type="default"/>
          <w:pgSz w:w="11906" w:h="16838"/>
          <w:pgMar w:top="1440" w:right="1797" w:bottom="1440" w:left="1797" w:header="851" w:footer="992" w:gutter="0"/>
          <w:pgNumType w:fmt="numberInDash"/>
          <w:cols w:space="425" w:num="1"/>
          <w:docGrid w:type="linesAndChars" w:linePitch="312" w:charSpace="-3420"/>
        </w:sect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14:paraId="60C22629">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00C96AB5">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南宫</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行政审批局</w:t>
      </w:r>
      <w:r>
        <w:rPr>
          <w:rFonts w:hint="eastAsia" w:ascii="方正小标宋简体" w:hAnsi="方正小标宋简体" w:eastAsia="方正小标宋简体" w:cs="方正小标宋简体"/>
          <w:sz w:val="44"/>
          <w:szCs w:val="44"/>
          <w:lang w:eastAsia="zh-CN"/>
        </w:rPr>
        <w:t>行政裁决事项清单（</w:t>
      </w:r>
      <w:r>
        <w:rPr>
          <w:rFonts w:hint="eastAsia" w:ascii="方正小标宋简体" w:hAnsi="方正小标宋简体" w:eastAsia="方正小标宋简体" w:cs="方正小标宋简体"/>
          <w:sz w:val="44"/>
          <w:szCs w:val="44"/>
          <w:lang w:val="en-US" w:eastAsia="zh-CN"/>
        </w:rPr>
        <w:t>2025年版</w:t>
      </w:r>
      <w:r>
        <w:rPr>
          <w:rFonts w:hint="eastAsia" w:ascii="方正小标宋简体" w:hAnsi="方正小标宋简体" w:eastAsia="方正小标宋简体" w:cs="方正小标宋简体"/>
          <w:sz w:val="44"/>
          <w:szCs w:val="44"/>
          <w:lang w:eastAsia="zh-CN"/>
        </w:rPr>
        <w:t>）</w:t>
      </w:r>
    </w:p>
    <w:tbl>
      <w:tblPr>
        <w:tblStyle w:val="9"/>
        <w:tblW w:w="13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80"/>
        <w:gridCol w:w="855"/>
        <w:gridCol w:w="1050"/>
        <w:gridCol w:w="2164"/>
        <w:gridCol w:w="1046"/>
        <w:gridCol w:w="1860"/>
        <w:gridCol w:w="1215"/>
        <w:gridCol w:w="2160"/>
        <w:gridCol w:w="891"/>
      </w:tblGrid>
      <w:tr w14:paraId="75E1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1" w:type="dxa"/>
            <w:vMerge w:val="restart"/>
            <w:noWrap w:val="0"/>
            <w:vAlign w:val="center"/>
          </w:tcPr>
          <w:p w14:paraId="02EC38D0">
            <w:pPr>
              <w:pStyle w:val="2"/>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380" w:type="dxa"/>
            <w:vMerge w:val="restart"/>
            <w:noWrap w:val="0"/>
            <w:vAlign w:val="center"/>
          </w:tcPr>
          <w:p w14:paraId="6716C164">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行政裁决</w:t>
            </w:r>
          </w:p>
          <w:p w14:paraId="4A0F0289">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事项名称</w:t>
            </w:r>
          </w:p>
        </w:tc>
        <w:tc>
          <w:tcPr>
            <w:tcW w:w="855" w:type="dxa"/>
            <w:vMerge w:val="restart"/>
            <w:noWrap w:val="0"/>
            <w:vAlign w:val="center"/>
          </w:tcPr>
          <w:p w14:paraId="05397E50">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实施</w:t>
            </w:r>
          </w:p>
          <w:p w14:paraId="3A9231C5">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部门</w:t>
            </w:r>
          </w:p>
        </w:tc>
        <w:tc>
          <w:tcPr>
            <w:tcW w:w="9495" w:type="dxa"/>
            <w:gridSpan w:val="6"/>
            <w:noWrap w:val="0"/>
            <w:vAlign w:val="center"/>
          </w:tcPr>
          <w:p w14:paraId="1FBBCCCE">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设定依据</w:t>
            </w:r>
          </w:p>
        </w:tc>
        <w:tc>
          <w:tcPr>
            <w:tcW w:w="891" w:type="dxa"/>
            <w:vMerge w:val="restart"/>
            <w:noWrap w:val="0"/>
            <w:vAlign w:val="center"/>
          </w:tcPr>
          <w:p w14:paraId="4F3B4E9F">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14:paraId="17C0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1" w:type="dxa"/>
            <w:vMerge w:val="continue"/>
            <w:noWrap w:val="0"/>
            <w:vAlign w:val="center"/>
          </w:tcPr>
          <w:p w14:paraId="568526E5">
            <w:pPr>
              <w:pStyle w:val="2"/>
              <w:jc w:val="center"/>
              <w:rPr>
                <w:rFonts w:hint="eastAsia" w:ascii="黑体" w:hAnsi="黑体" w:eastAsia="黑体" w:cs="黑体"/>
                <w:sz w:val="24"/>
                <w:szCs w:val="24"/>
                <w:vertAlign w:val="baseline"/>
                <w:lang w:eastAsia="zh-CN"/>
              </w:rPr>
            </w:pPr>
          </w:p>
        </w:tc>
        <w:tc>
          <w:tcPr>
            <w:tcW w:w="1380" w:type="dxa"/>
            <w:vMerge w:val="continue"/>
            <w:noWrap w:val="0"/>
            <w:vAlign w:val="center"/>
          </w:tcPr>
          <w:p w14:paraId="3C4F8D70">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855" w:type="dxa"/>
            <w:vMerge w:val="continue"/>
            <w:noWrap w:val="0"/>
            <w:vAlign w:val="center"/>
          </w:tcPr>
          <w:p w14:paraId="795E1F7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1050" w:type="dxa"/>
            <w:noWrap w:val="0"/>
            <w:vAlign w:val="center"/>
          </w:tcPr>
          <w:p w14:paraId="69A94F02">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法律</w:t>
            </w:r>
          </w:p>
        </w:tc>
        <w:tc>
          <w:tcPr>
            <w:tcW w:w="2164" w:type="dxa"/>
            <w:noWrap w:val="0"/>
            <w:vAlign w:val="center"/>
          </w:tcPr>
          <w:p w14:paraId="4141D3EB">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046" w:type="dxa"/>
            <w:noWrap w:val="0"/>
            <w:vAlign w:val="center"/>
          </w:tcPr>
          <w:p w14:paraId="42E66F24">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法规</w:t>
            </w:r>
          </w:p>
        </w:tc>
        <w:tc>
          <w:tcPr>
            <w:tcW w:w="1860" w:type="dxa"/>
            <w:noWrap w:val="0"/>
            <w:vAlign w:val="center"/>
          </w:tcPr>
          <w:p w14:paraId="0167F1E4">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215" w:type="dxa"/>
            <w:noWrap w:val="0"/>
            <w:vAlign w:val="center"/>
          </w:tcPr>
          <w:p w14:paraId="701C1B1A">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规章等程</w:t>
            </w:r>
          </w:p>
          <w:p w14:paraId="7DCDB5E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序性规定</w:t>
            </w:r>
          </w:p>
        </w:tc>
        <w:tc>
          <w:tcPr>
            <w:tcW w:w="2160" w:type="dxa"/>
            <w:noWrap w:val="0"/>
            <w:vAlign w:val="center"/>
          </w:tcPr>
          <w:p w14:paraId="04B9D294">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891" w:type="dxa"/>
            <w:vMerge w:val="continue"/>
            <w:noWrap w:val="0"/>
            <w:vAlign w:val="center"/>
          </w:tcPr>
          <w:p w14:paraId="051ADBED">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r>
      <w:tr w14:paraId="183A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14:paraId="6FD27C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1380" w:type="dxa"/>
            <w:noWrap w:val="0"/>
            <w:vAlign w:val="center"/>
          </w:tcPr>
          <w:p w14:paraId="183013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企业名称争议裁决</w:t>
            </w:r>
          </w:p>
        </w:tc>
        <w:tc>
          <w:tcPr>
            <w:tcW w:w="855" w:type="dxa"/>
            <w:noWrap w:val="0"/>
            <w:vAlign w:val="center"/>
          </w:tcPr>
          <w:p w14:paraId="2530E5C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南宫市行政审批局</w:t>
            </w:r>
          </w:p>
        </w:tc>
        <w:tc>
          <w:tcPr>
            <w:tcW w:w="1050" w:type="dxa"/>
            <w:noWrap w:val="0"/>
            <w:vAlign w:val="center"/>
          </w:tcPr>
          <w:p w14:paraId="7C27F5A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64" w:type="dxa"/>
            <w:noWrap w:val="0"/>
            <w:vAlign w:val="center"/>
          </w:tcPr>
          <w:p w14:paraId="32212A2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046" w:type="dxa"/>
            <w:noWrap w:val="0"/>
            <w:vAlign w:val="center"/>
          </w:tcPr>
          <w:p w14:paraId="7BAAB70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《企业名称登记管理规定》</w:t>
            </w:r>
          </w:p>
        </w:tc>
        <w:tc>
          <w:tcPr>
            <w:tcW w:w="1860" w:type="dxa"/>
            <w:noWrap w:val="0"/>
            <w:vAlign w:val="center"/>
          </w:tcPr>
          <w:p w14:paraId="69F78C3B">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第二十一条</w:t>
            </w:r>
          </w:p>
          <w:p w14:paraId="799BD6DB">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企业认为其他企业名称侵犯本企业名称合法权益的，可以向人民法院起诉或者请求为涉嫌侵权企业办理登记的企业登记机关处理。</w:t>
            </w:r>
          </w:p>
          <w:p w14:paraId="7FF70E0D">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企业登记机关受理申请后，可以进行调解；调解不成的，企业登记机关应当自受理之日起3个月内作出行政裁决。</w:t>
            </w:r>
          </w:p>
        </w:tc>
        <w:tc>
          <w:tcPr>
            <w:tcW w:w="1215" w:type="dxa"/>
            <w:noWrap w:val="0"/>
            <w:vAlign w:val="center"/>
          </w:tcPr>
          <w:p w14:paraId="6D5B307F">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《企业名称登记管理规定实施办法》</w:t>
            </w:r>
          </w:p>
        </w:tc>
        <w:tc>
          <w:tcPr>
            <w:tcW w:w="2160" w:type="dxa"/>
            <w:noWrap w:val="0"/>
            <w:vAlign w:val="center"/>
          </w:tcPr>
          <w:p w14:paraId="63E8DEB8">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i w:val="0"/>
                <w:color w:val="000000"/>
                <w:kern w:val="0"/>
                <w:sz w:val="21"/>
                <w:szCs w:val="21"/>
                <w:u w:val="none"/>
                <w:lang w:val="en-US" w:eastAsia="zh-CN" w:bidi="ar"/>
              </w:rPr>
            </w:pPr>
          </w:p>
          <w:p w14:paraId="6B5635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p w14:paraId="10F942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p w14:paraId="06F3FE98">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第三十四条</w:t>
            </w:r>
          </w:p>
          <w:p w14:paraId="7708E1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企业认为其他企业名称侵犯本企业名称合法权益的，可以向人民法院起诉或者请求为涉嫌侵权企业办理登记的企业登记机关处理。</w:t>
            </w:r>
          </w:p>
          <w:p w14:paraId="399EEBC8">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第三十五条</w:t>
            </w:r>
          </w:p>
          <w:p w14:paraId="1AF8A6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企业登记机关负责企业名称争议裁决工作，应当根据工作需要依法配备符合条件的裁决人员，为企业名称争议裁决提供保障。</w:t>
            </w:r>
          </w:p>
          <w:p w14:paraId="39CF2B51">
            <w:pPr>
              <w:pStyle w:val="2"/>
              <w:jc w:val="left"/>
              <w:rPr>
                <w:rFonts w:hint="eastAsia" w:ascii="仿宋_GB2312" w:hAnsi="仿宋_GB2312" w:eastAsia="仿宋_GB2312" w:cs="仿宋_GB2312"/>
                <w:i w:val="0"/>
                <w:color w:val="000000"/>
                <w:kern w:val="0"/>
                <w:sz w:val="21"/>
                <w:szCs w:val="21"/>
                <w:u w:val="none"/>
                <w:lang w:val="en-US" w:eastAsia="zh-CN" w:bidi="ar"/>
              </w:rPr>
            </w:pPr>
          </w:p>
          <w:p w14:paraId="40682FF4">
            <w:pPr>
              <w:jc w:val="left"/>
              <w:rPr>
                <w:rFonts w:hint="eastAsia" w:ascii="仿宋_GB2312" w:hAnsi="仿宋_GB2312" w:eastAsia="仿宋_GB2312" w:cs="仿宋_GB2312"/>
                <w:i w:val="0"/>
                <w:color w:val="000000"/>
                <w:kern w:val="0"/>
                <w:sz w:val="21"/>
                <w:szCs w:val="21"/>
                <w:u w:val="none"/>
                <w:lang w:val="en-US" w:eastAsia="zh-CN" w:bidi="ar"/>
              </w:rPr>
            </w:pPr>
          </w:p>
          <w:p w14:paraId="04308439">
            <w:pPr>
              <w:pStyle w:val="2"/>
              <w:rPr>
                <w:rFonts w:hint="eastAsia" w:ascii="仿宋_GB2312" w:hAnsi="仿宋_GB2312" w:eastAsia="仿宋_GB2312" w:cs="仿宋_GB2312"/>
                <w:sz w:val="21"/>
                <w:szCs w:val="21"/>
                <w:lang w:val="en-US" w:eastAsia="zh-CN"/>
              </w:rPr>
            </w:pPr>
          </w:p>
        </w:tc>
        <w:tc>
          <w:tcPr>
            <w:tcW w:w="891" w:type="dxa"/>
            <w:noWrap w:val="0"/>
            <w:vAlign w:val="center"/>
          </w:tcPr>
          <w:p w14:paraId="3B1588A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bl>
    <w:p w14:paraId="232F2E0B">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南宫</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行政审批局</w:t>
      </w:r>
      <w:r>
        <w:rPr>
          <w:rFonts w:hint="eastAsia" w:ascii="方正小标宋简体" w:hAnsi="方正小标宋简体" w:eastAsia="方正小标宋简体" w:cs="方正小标宋简体"/>
          <w:sz w:val="44"/>
          <w:szCs w:val="44"/>
          <w:lang w:eastAsia="zh-CN"/>
        </w:rPr>
        <w:t>行政裁决事项清单（</w:t>
      </w:r>
      <w:r>
        <w:rPr>
          <w:rFonts w:hint="eastAsia" w:ascii="方正小标宋简体" w:hAnsi="方正小标宋简体" w:eastAsia="方正小标宋简体" w:cs="方正小标宋简体"/>
          <w:sz w:val="44"/>
          <w:szCs w:val="44"/>
          <w:lang w:val="en-US" w:eastAsia="zh-CN"/>
        </w:rPr>
        <w:t>2025年版</w:t>
      </w:r>
      <w:r>
        <w:rPr>
          <w:rFonts w:hint="eastAsia" w:ascii="方正小标宋简体" w:hAnsi="方正小标宋简体" w:eastAsia="方正小标宋简体" w:cs="方正小标宋简体"/>
          <w:sz w:val="44"/>
          <w:szCs w:val="44"/>
          <w:lang w:eastAsia="zh-CN"/>
        </w:rPr>
        <w:t>）</w:t>
      </w:r>
    </w:p>
    <w:tbl>
      <w:tblPr>
        <w:tblStyle w:val="9"/>
        <w:tblW w:w="13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80"/>
        <w:gridCol w:w="855"/>
        <w:gridCol w:w="1050"/>
        <w:gridCol w:w="1799"/>
        <w:gridCol w:w="1200"/>
        <w:gridCol w:w="2295"/>
        <w:gridCol w:w="1245"/>
        <w:gridCol w:w="1906"/>
        <w:gridCol w:w="891"/>
      </w:tblGrid>
      <w:tr w14:paraId="43A6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1" w:type="dxa"/>
            <w:vMerge w:val="restart"/>
            <w:noWrap w:val="0"/>
            <w:vAlign w:val="center"/>
          </w:tcPr>
          <w:p w14:paraId="35852D28">
            <w:pPr>
              <w:pStyle w:val="2"/>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380" w:type="dxa"/>
            <w:vMerge w:val="restart"/>
            <w:noWrap w:val="0"/>
            <w:vAlign w:val="center"/>
          </w:tcPr>
          <w:p w14:paraId="487F4D90">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行政裁决</w:t>
            </w:r>
          </w:p>
          <w:p w14:paraId="34DE7B3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事项名称</w:t>
            </w:r>
          </w:p>
        </w:tc>
        <w:tc>
          <w:tcPr>
            <w:tcW w:w="855" w:type="dxa"/>
            <w:vMerge w:val="restart"/>
            <w:noWrap w:val="0"/>
            <w:vAlign w:val="center"/>
          </w:tcPr>
          <w:p w14:paraId="5A15C9ED">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实施</w:t>
            </w:r>
          </w:p>
          <w:p w14:paraId="7BE3FDB5">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部门</w:t>
            </w:r>
          </w:p>
        </w:tc>
        <w:tc>
          <w:tcPr>
            <w:tcW w:w="9495" w:type="dxa"/>
            <w:gridSpan w:val="6"/>
            <w:noWrap w:val="0"/>
            <w:vAlign w:val="center"/>
          </w:tcPr>
          <w:p w14:paraId="12165583">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设定依据</w:t>
            </w:r>
          </w:p>
        </w:tc>
        <w:tc>
          <w:tcPr>
            <w:tcW w:w="891" w:type="dxa"/>
            <w:vMerge w:val="restart"/>
            <w:noWrap w:val="0"/>
            <w:vAlign w:val="center"/>
          </w:tcPr>
          <w:p w14:paraId="3FF0600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14:paraId="6C80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1" w:type="dxa"/>
            <w:vMerge w:val="continue"/>
            <w:noWrap w:val="0"/>
            <w:vAlign w:val="center"/>
          </w:tcPr>
          <w:p w14:paraId="4BBAF7DF">
            <w:pPr>
              <w:pStyle w:val="2"/>
              <w:jc w:val="center"/>
              <w:rPr>
                <w:rFonts w:hint="eastAsia" w:ascii="黑体" w:hAnsi="黑体" w:eastAsia="黑体" w:cs="黑体"/>
                <w:sz w:val="24"/>
                <w:szCs w:val="24"/>
                <w:vertAlign w:val="baseline"/>
                <w:lang w:eastAsia="zh-CN"/>
              </w:rPr>
            </w:pPr>
          </w:p>
        </w:tc>
        <w:tc>
          <w:tcPr>
            <w:tcW w:w="1380" w:type="dxa"/>
            <w:vMerge w:val="continue"/>
            <w:noWrap w:val="0"/>
            <w:vAlign w:val="center"/>
          </w:tcPr>
          <w:p w14:paraId="1509810E">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855" w:type="dxa"/>
            <w:vMerge w:val="continue"/>
            <w:noWrap w:val="0"/>
            <w:vAlign w:val="center"/>
          </w:tcPr>
          <w:p w14:paraId="2977C62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1050" w:type="dxa"/>
            <w:noWrap w:val="0"/>
            <w:vAlign w:val="center"/>
          </w:tcPr>
          <w:p w14:paraId="22F628FD">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法律</w:t>
            </w:r>
          </w:p>
        </w:tc>
        <w:tc>
          <w:tcPr>
            <w:tcW w:w="1799" w:type="dxa"/>
            <w:noWrap w:val="0"/>
            <w:vAlign w:val="center"/>
          </w:tcPr>
          <w:p w14:paraId="6494A5B8">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200" w:type="dxa"/>
            <w:noWrap w:val="0"/>
            <w:vAlign w:val="center"/>
          </w:tcPr>
          <w:p w14:paraId="3D94D99A">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法规</w:t>
            </w:r>
          </w:p>
        </w:tc>
        <w:tc>
          <w:tcPr>
            <w:tcW w:w="2295" w:type="dxa"/>
            <w:noWrap w:val="0"/>
            <w:vAlign w:val="center"/>
          </w:tcPr>
          <w:p w14:paraId="4C4BB726">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245" w:type="dxa"/>
            <w:noWrap w:val="0"/>
            <w:vAlign w:val="center"/>
          </w:tcPr>
          <w:p w14:paraId="67867FB7">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规章等程</w:t>
            </w:r>
          </w:p>
          <w:p w14:paraId="5AB197CF">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序性规定</w:t>
            </w:r>
          </w:p>
        </w:tc>
        <w:tc>
          <w:tcPr>
            <w:tcW w:w="1906" w:type="dxa"/>
            <w:noWrap w:val="0"/>
            <w:vAlign w:val="center"/>
          </w:tcPr>
          <w:p w14:paraId="5887D6C9">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891" w:type="dxa"/>
            <w:vMerge w:val="continue"/>
            <w:noWrap w:val="0"/>
            <w:vAlign w:val="center"/>
          </w:tcPr>
          <w:p w14:paraId="5E553636">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r>
      <w:tr w14:paraId="3528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691" w:type="dxa"/>
            <w:noWrap w:val="0"/>
            <w:vAlign w:val="center"/>
          </w:tcPr>
          <w:p w14:paraId="32D363D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1380" w:type="dxa"/>
            <w:noWrap w:val="0"/>
            <w:vAlign w:val="center"/>
          </w:tcPr>
          <w:p w14:paraId="6E752CB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医疗机构名称裁定</w:t>
            </w:r>
          </w:p>
        </w:tc>
        <w:tc>
          <w:tcPr>
            <w:tcW w:w="855" w:type="dxa"/>
            <w:noWrap w:val="0"/>
            <w:vAlign w:val="center"/>
          </w:tcPr>
          <w:p w14:paraId="67E36B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南宫市行政审批局</w:t>
            </w:r>
          </w:p>
        </w:tc>
        <w:tc>
          <w:tcPr>
            <w:tcW w:w="1050" w:type="dxa"/>
            <w:noWrap w:val="0"/>
            <w:vAlign w:val="center"/>
          </w:tcPr>
          <w:p w14:paraId="2387297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799" w:type="dxa"/>
            <w:noWrap w:val="0"/>
            <w:vAlign w:val="center"/>
          </w:tcPr>
          <w:p w14:paraId="5676009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200" w:type="dxa"/>
            <w:noWrap w:val="0"/>
            <w:vAlign w:val="center"/>
          </w:tcPr>
          <w:p w14:paraId="4F11794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《医疗机构管理条例实施细则》</w:t>
            </w:r>
          </w:p>
        </w:tc>
        <w:tc>
          <w:tcPr>
            <w:tcW w:w="2295" w:type="dxa"/>
            <w:noWrap w:val="0"/>
            <w:vAlign w:val="top"/>
          </w:tcPr>
          <w:p w14:paraId="3C77B52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14:paraId="5F4C91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第四十九条</w:t>
            </w:r>
          </w:p>
          <w:p w14:paraId="598B47E9">
            <w:pPr>
              <w:keepNext w:val="0"/>
              <w:keepLines w:val="0"/>
              <w:pageBreakBefore w:val="0"/>
              <w:widowControl/>
              <w:suppressLineNumbers w:val="0"/>
              <w:kinsoku/>
              <w:wordWrap/>
              <w:overflowPunct/>
              <w:topLinePunct w:val="0"/>
              <w:autoSpaceDE/>
              <w:autoSpaceDN/>
              <w:bidi w:val="0"/>
              <w:adjustRightInd/>
              <w:snapToGrid/>
              <w:spacing w:line="200" w:lineRule="exact"/>
              <w:ind w:firstLine="194" w:firstLineChars="10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两个以上申请人向同一核准机关申请相同的医疗机构名称，核准机关依照申请在先原则核定。属于同一天申请的，应当由申请人双方协商解决；协商不成的，由核准机关作出裁决。</w:t>
            </w:r>
          </w:p>
          <w:p w14:paraId="14A699C9">
            <w:pPr>
              <w:keepNext w:val="0"/>
              <w:keepLines w:val="0"/>
              <w:pageBreakBefore w:val="0"/>
              <w:widowControl/>
              <w:suppressLineNumbers w:val="0"/>
              <w:kinsoku/>
              <w:wordWrap/>
              <w:overflowPunct/>
              <w:topLinePunct w:val="0"/>
              <w:autoSpaceDE/>
              <w:autoSpaceDN/>
              <w:bidi w:val="0"/>
              <w:adjustRightInd/>
              <w:snapToGrid/>
              <w:spacing w:line="200" w:lineRule="exact"/>
              <w:ind w:firstLine="194" w:firstLineChars="10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两个以上医疗机构因已经核准登记的医疗机构名称相同发生争议时，核准机关依照登记在先原则处理。属于同一天登记的，应当由双方协商解决；协商不成的，由核准机关报上一级卫生计生行政部门作出裁决。</w:t>
            </w:r>
          </w:p>
          <w:p w14:paraId="79BF3118">
            <w:pPr>
              <w:jc w:val="both"/>
              <w:rPr>
                <w:rFonts w:hint="eastAsia"/>
                <w:sz w:val="21"/>
                <w:szCs w:val="21"/>
                <w:lang w:val="en-US" w:eastAsia="zh-CN"/>
              </w:rPr>
            </w:pPr>
          </w:p>
        </w:tc>
        <w:tc>
          <w:tcPr>
            <w:tcW w:w="1245" w:type="dxa"/>
            <w:noWrap w:val="0"/>
            <w:vAlign w:val="center"/>
          </w:tcPr>
          <w:p w14:paraId="3F20FCC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6" w:type="dxa"/>
            <w:noWrap w:val="0"/>
            <w:vAlign w:val="center"/>
          </w:tcPr>
          <w:p w14:paraId="7A2C96F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91" w:type="dxa"/>
            <w:noWrap w:val="0"/>
            <w:vAlign w:val="center"/>
          </w:tcPr>
          <w:p w14:paraId="332A7E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bl>
    <w:p w14:paraId="4DEF5739">
      <w:pPr>
        <w:rPr>
          <w:rFonts w:hint="eastAsia" w:ascii="仿宋_GB2312" w:eastAsia="仿宋_GB2312"/>
          <w:sz w:val="32"/>
          <w:szCs w:val="32"/>
        </w:rPr>
      </w:pPr>
    </w:p>
    <w:sectPr>
      <w:pgSz w:w="16838" w:h="11906" w:orient="landscape"/>
      <w:pgMar w:top="1740" w:right="1440" w:bottom="1684" w:left="1440" w:header="851" w:footer="992" w:gutter="0"/>
      <w:pgNumType w:fmt="numberInDash"/>
      <w:cols w:space="425"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F7F6">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29721016"/>
                            <w:docPartObj>
                              <w:docPartGallery w:val="autotext"/>
                            </w:docPartObj>
                          </w:sdtPr>
                          <w:sdtEndPr>
                            <w:rPr>
                              <w:rFonts w:hint="eastAsia" w:ascii="宋体" w:hAnsi="宋体" w:eastAsia="宋体" w:cs="宋体"/>
                              <w:sz w:val="28"/>
                              <w:szCs w:val="28"/>
                            </w:rPr>
                          </w:sdtEndPr>
                          <w:sdtContent>
                            <w:p w14:paraId="0B71B76C">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14:paraId="16F1828B">
                          <w:pPr>
                            <w:pStyle w:val="3"/>
                            <w:numPr>
                              <w:ilvl w:val="3"/>
                              <w:numId w:val="0"/>
                            </w:numPr>
                            <w:ind w:left="720" w:left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29721016"/>
                      <w:docPartObj>
                        <w:docPartGallery w:val="autotext"/>
                      </w:docPartObj>
                    </w:sdtPr>
                    <w:sdtEndPr>
                      <w:rPr>
                        <w:rFonts w:hint="eastAsia" w:ascii="宋体" w:hAnsi="宋体" w:eastAsia="宋体" w:cs="宋体"/>
                        <w:sz w:val="28"/>
                        <w:szCs w:val="28"/>
                      </w:rPr>
                    </w:sdtEndPr>
                    <w:sdtContent>
                      <w:p w14:paraId="0B71B76C">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14:paraId="16F1828B">
                    <w:pPr>
                      <w:pStyle w:val="3"/>
                      <w:numPr>
                        <w:ilvl w:val="3"/>
                        <w:numId w:val="0"/>
                      </w:numPr>
                      <w:ind w:left="720" w:leftChars="0"/>
                    </w:pPr>
                  </w:p>
                </w:txbxContent>
              </v:textbox>
            </v:shape>
          </w:pict>
        </mc:Fallback>
      </mc:AlternateContent>
    </w:r>
  </w:p>
  <w:p w14:paraId="7921D43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3"/>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TdhYjY5OTczNWJmZDIzNWY3OWU0ZjIxNjllZjcifQ=="/>
  </w:docVars>
  <w:rsids>
    <w:rsidRoot w:val="00D34C4A"/>
    <w:rsid w:val="001D406D"/>
    <w:rsid w:val="00432AC5"/>
    <w:rsid w:val="00D34C4A"/>
    <w:rsid w:val="00DC6013"/>
    <w:rsid w:val="00E87E9C"/>
    <w:rsid w:val="014E12C9"/>
    <w:rsid w:val="01663733"/>
    <w:rsid w:val="0CFD0424"/>
    <w:rsid w:val="13A83887"/>
    <w:rsid w:val="13CB3DBE"/>
    <w:rsid w:val="13ED26CC"/>
    <w:rsid w:val="15A51B1A"/>
    <w:rsid w:val="16FE1FC7"/>
    <w:rsid w:val="18A33978"/>
    <w:rsid w:val="1EF1268E"/>
    <w:rsid w:val="1F4D71E1"/>
    <w:rsid w:val="220855E6"/>
    <w:rsid w:val="22AB3B3D"/>
    <w:rsid w:val="25B156EC"/>
    <w:rsid w:val="27C94148"/>
    <w:rsid w:val="2E0D036E"/>
    <w:rsid w:val="2FB14991"/>
    <w:rsid w:val="31900B7E"/>
    <w:rsid w:val="33F42057"/>
    <w:rsid w:val="36554D38"/>
    <w:rsid w:val="3E8C41DA"/>
    <w:rsid w:val="3EB412B6"/>
    <w:rsid w:val="41EE13B5"/>
    <w:rsid w:val="422C3F22"/>
    <w:rsid w:val="425F296A"/>
    <w:rsid w:val="438069E8"/>
    <w:rsid w:val="44261373"/>
    <w:rsid w:val="44DC03FA"/>
    <w:rsid w:val="45C67B21"/>
    <w:rsid w:val="46666CF3"/>
    <w:rsid w:val="4EE651FC"/>
    <w:rsid w:val="50EF3D93"/>
    <w:rsid w:val="51821F5E"/>
    <w:rsid w:val="52FE6B4C"/>
    <w:rsid w:val="54DA3107"/>
    <w:rsid w:val="56CF25B7"/>
    <w:rsid w:val="57AD4C22"/>
    <w:rsid w:val="5B623814"/>
    <w:rsid w:val="5CAB1F6E"/>
    <w:rsid w:val="60F41F70"/>
    <w:rsid w:val="63C06956"/>
    <w:rsid w:val="701936F1"/>
    <w:rsid w:val="733D6146"/>
    <w:rsid w:val="78DD3C68"/>
    <w:rsid w:val="7A592736"/>
    <w:rsid w:val="7C64748A"/>
    <w:rsid w:val="7F9E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
    <w:pPr>
      <w:keepNext/>
      <w:keepLines/>
      <w:numPr>
        <w:ilvl w:val="3"/>
        <w:numId w:val="1"/>
      </w:numPr>
      <w:spacing w:before="280" w:after="290" w:line="376" w:lineRule="auto"/>
      <w:outlineLvl w:val="3"/>
    </w:pPr>
    <w:rPr>
      <w:rFonts w:ascii="Arial" w:hAnsi="Arial" w:eastAsia="黑体"/>
      <w:b/>
      <w:bCs/>
      <w:kern w:val="2"/>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180"/>
      </w:tabs>
      <w:spacing w:line="500" w:lineRule="exact"/>
    </w:pPr>
    <w:rPr>
      <w:sz w:val="32"/>
    </w:rPr>
  </w:style>
  <w:style w:type="paragraph" w:styleId="4">
    <w:name w:val="Body Text Indent"/>
    <w:basedOn w:val="1"/>
    <w:next w:val="1"/>
    <w:qFormat/>
    <w:uiPriority w:val="99"/>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99"/>
    <w:pPr>
      <w:ind w:firstLine="200"/>
    </w:pPr>
    <w:rPr>
      <w:kern w:val="0"/>
      <w:sz w:val="30"/>
      <w:szCs w:val="30"/>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表格文字"/>
    <w:basedOn w:val="1"/>
    <w:next w:val="2"/>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character" w:customStyle="1" w:styleId="16">
    <w:name w:val="font61"/>
    <w:basedOn w:val="10"/>
    <w:qFormat/>
    <w:uiPriority w:val="0"/>
    <w:rPr>
      <w:rFonts w:hint="eastAsia" w:ascii="仿宋" w:hAnsi="仿宋" w:eastAsia="仿宋" w:cs="仿宋"/>
      <w:color w:val="000000"/>
      <w:sz w:val="28"/>
      <w:szCs w:val="28"/>
      <w:u w:val="none"/>
    </w:rPr>
  </w:style>
  <w:style w:type="character" w:customStyle="1" w:styleId="17">
    <w:name w:val="font4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896</Words>
  <Characters>919</Characters>
  <Lines>1</Lines>
  <Paragraphs>1</Paragraphs>
  <TotalTime>8</TotalTime>
  <ScaleCrop>false</ScaleCrop>
  <LinksUpToDate>false</LinksUpToDate>
  <CharactersWithSpaces>1012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2019-03-04T03:35:00Z</dcterms:created>
  <dc:creator>微软用户</dc:creator>
  <cp:lastModifiedBy>～阿梁</cp:lastModifiedBy>
  <cp:lastPrinted>2025-02-05T01:27:00Z</cp:lastPrinted>
  <dcterms:modified xsi:type="dcterms:W3CDTF">2025-02-05T08:43:55Z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A945D4B50D234B61AD2AF1E05192BB6A_13</vt:lpwstr>
  </property>
  <property fmtid="{D5CDD505-2E9C-101B-9397-08002B2CF9AE}" pid="4" name="KSOTemplateDocerSaveRecord">
    <vt:lpwstr>eyJoZGlkIjoiNTE2MTE2MWNiYTkyMmVhMDQ1MTdlNGY0NzZjMjEyN2QiLCJ1c2VySWQiOiI2MzIzMDk0MTYifQ==</vt:lpwstr>
  </property>
</Properties>
</file>