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是否同意公开:是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办理结果：A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  <w:t>南宫市卫生健康局</w:t>
      </w:r>
    </w:p>
    <w:p>
      <w:pPr>
        <w:jc w:val="center"/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  <w:t>对政协南宫市第十届委员会</w:t>
      </w:r>
    </w:p>
    <w:p>
      <w:pPr>
        <w:jc w:val="center"/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  <w:t>第四次会议第90号提案的答复</w:t>
      </w:r>
    </w:p>
    <w:p>
      <w:pPr>
        <w:jc w:val="center"/>
        <w:rPr>
          <w:rFonts w:hint="eastAsia" w:ascii="经典标宋简" w:hAnsi="经典标宋简" w:eastAsia="经典标宋简" w:cs="经典标宋简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王志强委员：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您提出的关于“加强农村卫生人才队伍建设”的建议收悉，现答复如下：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近年来我局高度重视基层医疗机构人才队伍建设，从以下几个方面加大建设力度：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人员招聘工作。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提高我市医疗业务水平，进一步满足群众的医疗保健需求，提升整体服务能力，解决医疗业务人才缺乏的困境，积极争取政府支持，于2021-2023年共为乡镇卫生院（社区卫生服务中心）招录医务人员144人，充实了基层医疗机构人员队伍。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2、积极开展医务人员的培训工作。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了组织参加省、市卫健主管部门安排的培训，依托基层卫生人才提升工程，对乡镇卫生院加强乡村医生培训教育，建立市人民医院、中医院、妇幼保健院、冀南长城医院四个村医培训基地，对辖区卫生院卫生技术人员、村医进行培训，拓展培训形式，计划与科技公司合作开展线上继续医学培训等。同时，我们还积极争取农村订单定向医学生免费培养工作计划，待毕业后按规定充实到基层医疗机构。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3、待遇保障方面。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自2019年开始，按照省、邢台市乡村卫生健康服务一体化管理改革工作安排，卫生院对所辖卫生室在人员、工资、财务、药械、业务、管理、准入退出、培训教育、绩效考核、奖惩等进行“十统一”管理，研究制定了一系列实施方案和制度，明确村医工资收入来源包括国家基本公共卫生服务项目经费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家庭医生签约服务经费、药品“零差率”补助及其他医疗收入，工资报酬基本达到乡镇卫生院同类在职在编人员工资水平。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7月15日</w:t>
      </w:r>
    </w:p>
    <w:p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领导签发：白志英</w:t>
      </w:r>
    </w:p>
    <w:p>
      <w:p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联系人及电话：耿建府 5162710</w:t>
      </w:r>
    </w:p>
    <w:p>
      <w:pPr>
        <w:wordWrap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抄送：市政府办公室，市政协提案委员会。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标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0000000"/>
    <w:rsid w:val="05840031"/>
    <w:rsid w:val="08375BB0"/>
    <w:rsid w:val="0BEC357F"/>
    <w:rsid w:val="0D9F3D7C"/>
    <w:rsid w:val="1C867557"/>
    <w:rsid w:val="271F6F9F"/>
    <w:rsid w:val="31964BFD"/>
    <w:rsid w:val="663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3</TotalTime>
  <ScaleCrop>false</ScaleCrop>
  <LinksUpToDate>false</LinksUpToDate>
  <CharactersWithSpaces>128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2023-07-03T02:05:00Z</dcterms:created>
  <dc:creator>Administrator</dc:creator>
  <cp:lastModifiedBy>Administrator</cp:lastModifiedBy>
  <dcterms:modified xsi:type="dcterms:W3CDTF">2024-07-24T03:42:15Z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5DFB3FAFDCCD4C8C9A8E5001492A2C22_13</vt:lpwstr>
  </property>
</Properties>
</file>