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pacing w:line="540" w:lineRule="exact"/>
        <w:jc w:val="center"/>
        <w:rPr>
          <w:rFonts w:hint="eastAsia" w:ascii="Arial Unicode MS" w:hAnsi="宋体" w:eastAsia="Arial Unicode MS" w:cs="仿宋_GB2312"/>
          <w:sz w:val="44"/>
          <w:szCs w:val="44"/>
          <w:lang w:eastAsia="zh-CN"/>
        </w:rPr>
      </w:pPr>
      <w:r>
        <w:rPr>
          <w:rFonts w:hint="eastAsia" w:ascii="Arial Unicode MS" w:hAnsi="宋体" w:eastAsia="Arial Unicode MS" w:cs="仿宋_GB2312"/>
          <w:sz w:val="44"/>
          <w:szCs w:val="44"/>
          <w:lang w:eastAsia="zh-CN"/>
        </w:rPr>
        <w:t>南宫市</w:t>
      </w:r>
      <w:r>
        <w:rPr>
          <w:rFonts w:hint="eastAsia" w:ascii="Arial Unicode MS" w:hAnsi="宋体" w:eastAsia="Arial Unicode MS" w:cs="仿宋_GB2312"/>
          <w:sz w:val="44"/>
          <w:szCs w:val="44"/>
          <w:lang w:val="en-US" w:eastAsia="zh-CN"/>
        </w:rPr>
        <w:t>水务</w:t>
      </w:r>
      <w:r>
        <w:rPr>
          <w:rFonts w:hint="eastAsia" w:ascii="Arial Unicode MS" w:hAnsi="宋体" w:eastAsia="Arial Unicode MS" w:cs="仿宋_GB2312"/>
          <w:sz w:val="44"/>
          <w:szCs w:val="44"/>
          <w:lang w:eastAsia="zh-CN"/>
        </w:rPr>
        <w:t>局</w:t>
      </w:r>
    </w:p>
    <w:p>
      <w:pPr>
        <w:keepNext w:val="0"/>
        <w:keepLines w:val="0"/>
        <w:pageBreakBefore w:val="0"/>
        <w:widowControl w:val="0"/>
        <w:spacing w:line="540" w:lineRule="exact"/>
        <w:jc w:val="center"/>
        <w:rPr>
          <w:rFonts w:hint="eastAsia" w:ascii="Arial Unicode MS" w:hAnsi="宋体" w:eastAsia="Arial Unicode MS"/>
          <w:sz w:val="44"/>
          <w:szCs w:val="44"/>
        </w:rPr>
      </w:pPr>
      <w:r>
        <w:rPr>
          <w:rFonts w:hint="eastAsia" w:ascii="Arial Unicode MS" w:hAnsi="宋体" w:eastAsia="Arial Unicode MS"/>
          <w:sz w:val="44"/>
          <w:szCs w:val="44"/>
          <w:lang w:eastAsia="zh-CN"/>
        </w:rPr>
        <w:t>202</w:t>
      </w:r>
      <w:r>
        <w:rPr>
          <w:rFonts w:hint="eastAsia" w:ascii="Arial Unicode MS" w:hAnsi="宋体" w:eastAsia="Arial Unicode MS"/>
          <w:sz w:val="44"/>
          <w:szCs w:val="44"/>
          <w:lang w:val="en-US" w:eastAsia="zh-CN"/>
        </w:rPr>
        <w:t>4</w:t>
      </w:r>
      <w:r>
        <w:rPr>
          <w:rFonts w:hint="eastAsia" w:ascii="Arial Unicode MS" w:hAnsi="宋体" w:eastAsia="Arial Unicode MS"/>
          <w:sz w:val="44"/>
          <w:szCs w:val="44"/>
        </w:rPr>
        <w:t>年政府信息公开工作年度报告</w:t>
      </w:r>
    </w:p>
    <w:p>
      <w:pPr>
        <w:rPr>
          <w:rFonts w:hint="eastAsi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60"/>
        <w:jc w:val="both"/>
        <w:rPr>
          <w:rFonts w:hint="eastAsia" w:ascii="仿宋" w:hAnsi="仿宋" w:eastAsia="仿宋" w:cs="仿宋"/>
          <w:i w:val="0"/>
          <w:iCs w:val="0"/>
          <w:caps w:val="0"/>
          <w:color w:val="auto"/>
          <w:spacing w:val="0"/>
          <w:sz w:val="32"/>
          <w:szCs w:val="32"/>
          <w:u w:val="none"/>
          <w:shd w:val="clear" w:color="auto" w:fill="FFFFFF"/>
        </w:rPr>
      </w:pPr>
      <w:r>
        <w:rPr>
          <w:rFonts w:hint="eastAsia" w:ascii="仿宋" w:hAnsi="仿宋" w:eastAsia="仿宋" w:cs="仿宋"/>
          <w:i w:val="0"/>
          <w:iCs w:val="0"/>
          <w:caps w:val="0"/>
          <w:color w:val="auto"/>
          <w:spacing w:val="0"/>
          <w:sz w:val="32"/>
          <w:szCs w:val="32"/>
          <w:u w:val="none"/>
          <w:shd w:val="clear" w:color="auto" w:fill="FFFFFF"/>
        </w:rPr>
        <w:t>根据《中华人民共和国政府信息公开条例》《河北省实施〈中华人民共和国政府信息公开条例〉办法》等相关法律法规的明确规定，发布本年度报告。报告中所列数据统计期限为</w:t>
      </w:r>
      <w:r>
        <w:rPr>
          <w:rFonts w:hint="eastAsia" w:ascii="仿宋" w:hAnsi="仿宋" w:eastAsia="仿宋" w:cs="仿宋"/>
          <w:i w:val="0"/>
          <w:iCs w:val="0"/>
          <w:caps w:val="0"/>
          <w:color w:val="auto"/>
          <w:spacing w:val="0"/>
          <w:sz w:val="32"/>
          <w:szCs w:val="32"/>
          <w:u w:val="none"/>
          <w:shd w:val="clear" w:color="auto" w:fill="FFFFFF"/>
        </w:rPr>
        <w:t>2024</w:t>
      </w:r>
      <w:r>
        <w:rPr>
          <w:rFonts w:hint="eastAsia" w:ascii="仿宋" w:hAnsi="仿宋" w:eastAsia="仿宋" w:cs="仿宋"/>
          <w:i w:val="0"/>
          <w:iCs w:val="0"/>
          <w:caps w:val="0"/>
          <w:color w:val="auto"/>
          <w:spacing w:val="0"/>
          <w:sz w:val="32"/>
          <w:szCs w:val="32"/>
          <w:u w:val="none"/>
          <w:shd w:val="clear" w:color="auto" w:fill="FFFFFF"/>
        </w:rPr>
        <w:t>年1月1日至12月31日。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5"/>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一、总体情况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6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lang w:eastAsia="zh-CN"/>
        </w:rPr>
        <w:t>202</w:t>
      </w:r>
      <w:r>
        <w:rPr>
          <w:rFonts w:hint="eastAsia" w:ascii="仿宋" w:hAnsi="仿宋" w:eastAsia="仿宋" w:cs="仿宋"/>
          <w:i w:val="0"/>
          <w:iCs w:val="0"/>
          <w:caps w:val="0"/>
          <w:color w:val="auto"/>
          <w:spacing w:val="0"/>
          <w:sz w:val="32"/>
          <w:szCs w:val="32"/>
          <w:u w:val="none"/>
          <w:shd w:val="clear" w:color="auto" w:fill="FFFFFF"/>
          <w:lang w:val="en-US" w:eastAsia="zh-CN"/>
        </w:rPr>
        <w:t>4</w:t>
      </w:r>
      <w:r>
        <w:rPr>
          <w:rFonts w:hint="eastAsia" w:ascii="仿宋" w:hAnsi="仿宋" w:eastAsia="仿宋" w:cs="仿宋"/>
          <w:i w:val="0"/>
          <w:iCs w:val="0"/>
          <w:caps w:val="0"/>
          <w:color w:val="auto"/>
          <w:spacing w:val="0"/>
          <w:sz w:val="32"/>
          <w:szCs w:val="32"/>
          <w:u w:val="none"/>
          <w:shd w:val="clear" w:color="auto" w:fill="FFFFFF"/>
        </w:rPr>
        <w:t>年，我局继续认真贯彻落实《中华人民共和国政府信息公开条例》关于加强信息公开的要求，坚持以“公开为常态、不公开为例外”原则，大力推进决策公开、执行公开、管理公开、服务公开和结果公开，有效推进政府信息公开工作，不断提升政府信息公开服务水平，保障了人民群众对政府工作的知情权、参与权和监督权，政务公开各项工作进展顺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i w:val="0"/>
          <w:iCs w:val="0"/>
          <w:caps w:val="0"/>
          <w:color w:val="auto"/>
          <w:spacing w:val="0"/>
          <w:sz w:val="32"/>
          <w:szCs w:val="32"/>
          <w:u w:val="none"/>
        </w:rPr>
      </w:pPr>
      <w:r>
        <w:rPr>
          <w:rStyle w:val="8"/>
          <w:rFonts w:hint="eastAsia" w:ascii="仿宋" w:hAnsi="仿宋" w:eastAsia="仿宋" w:cs="仿宋"/>
          <w:i w:val="0"/>
          <w:iCs w:val="0"/>
          <w:caps w:val="0"/>
          <w:color w:val="auto"/>
          <w:spacing w:val="0"/>
          <w:sz w:val="32"/>
          <w:szCs w:val="32"/>
          <w:u w:val="none"/>
          <w:shd w:val="clear" w:color="auto" w:fill="FFFFFF"/>
        </w:rPr>
        <w:t>（一）主动公开。</w:t>
      </w:r>
      <w:r>
        <w:rPr>
          <w:rStyle w:val="8"/>
          <w:rFonts w:hint="eastAsia" w:ascii="仿宋" w:hAnsi="仿宋" w:eastAsia="仿宋" w:cs="仿宋"/>
          <w:b w:val="0"/>
          <w:bCs/>
          <w:i w:val="0"/>
          <w:iCs w:val="0"/>
          <w:caps w:val="0"/>
          <w:color w:val="auto"/>
          <w:spacing w:val="0"/>
          <w:sz w:val="32"/>
          <w:szCs w:val="32"/>
          <w:u w:val="none"/>
          <w:shd w:val="clear" w:color="auto" w:fill="FFFFFF"/>
          <w:lang w:val="en-US" w:eastAsia="zh-CN"/>
        </w:rPr>
        <w:t>全</w:t>
      </w:r>
      <w:r>
        <w:rPr>
          <w:rStyle w:val="8"/>
          <w:rFonts w:hint="eastAsia" w:ascii="仿宋" w:hAnsi="仿宋" w:eastAsia="仿宋" w:cs="仿宋"/>
          <w:b w:val="0"/>
          <w:bCs/>
          <w:i w:val="0"/>
          <w:iCs w:val="0"/>
          <w:caps w:val="0"/>
          <w:color w:val="auto"/>
          <w:spacing w:val="0"/>
          <w:sz w:val="32"/>
          <w:szCs w:val="32"/>
          <w:u w:val="none"/>
          <w:shd w:val="clear" w:color="auto" w:fill="FFFFFF"/>
        </w:rPr>
        <w:t>年共主动公开政府信息</w:t>
      </w:r>
      <w:r>
        <w:rPr>
          <w:rStyle w:val="8"/>
          <w:rFonts w:hint="eastAsia" w:ascii="仿宋" w:hAnsi="仿宋" w:eastAsia="仿宋" w:cs="仿宋"/>
          <w:b w:val="0"/>
          <w:bCs/>
          <w:i w:val="0"/>
          <w:iCs w:val="0"/>
          <w:caps w:val="0"/>
          <w:color w:val="auto"/>
          <w:spacing w:val="0"/>
          <w:sz w:val="32"/>
          <w:szCs w:val="32"/>
          <w:u w:val="none"/>
          <w:shd w:val="clear" w:color="auto" w:fill="FFFFFF"/>
          <w:lang w:val="en-US" w:eastAsia="zh-CN"/>
        </w:rPr>
        <w:t>14</w:t>
      </w:r>
      <w:r>
        <w:rPr>
          <w:rStyle w:val="8"/>
          <w:rFonts w:hint="eastAsia" w:ascii="仿宋" w:hAnsi="仿宋" w:eastAsia="仿宋" w:cs="仿宋"/>
          <w:b w:val="0"/>
          <w:bCs/>
          <w:i w:val="0"/>
          <w:iCs w:val="0"/>
          <w:caps w:val="0"/>
          <w:color w:val="auto"/>
          <w:spacing w:val="0"/>
          <w:sz w:val="32"/>
          <w:szCs w:val="32"/>
          <w:u w:val="none"/>
          <w:shd w:val="clear" w:color="auto" w:fill="FFFFFF"/>
        </w:rPr>
        <w:t>条，《通知》实施以来累计主动公开政府信息</w:t>
      </w:r>
      <w:r>
        <w:rPr>
          <w:rStyle w:val="8"/>
          <w:rFonts w:hint="eastAsia" w:ascii="仿宋" w:hAnsi="仿宋" w:eastAsia="仿宋" w:cs="仿宋"/>
          <w:b w:val="0"/>
          <w:bCs/>
          <w:i w:val="0"/>
          <w:iCs w:val="0"/>
          <w:caps w:val="0"/>
          <w:color w:val="auto"/>
          <w:spacing w:val="0"/>
          <w:sz w:val="32"/>
          <w:szCs w:val="32"/>
          <w:u w:val="none"/>
          <w:shd w:val="clear" w:color="auto" w:fill="FFFFFF"/>
          <w:lang w:val="en-US" w:eastAsia="zh-CN"/>
        </w:rPr>
        <w:t>3</w:t>
      </w:r>
      <w:r>
        <w:rPr>
          <w:rStyle w:val="8"/>
          <w:rFonts w:hint="eastAsia" w:ascii="仿宋" w:hAnsi="仿宋" w:eastAsia="仿宋" w:cs="仿宋"/>
          <w:b w:val="0"/>
          <w:bCs/>
          <w:i w:val="0"/>
          <w:iCs w:val="0"/>
          <w:caps w:val="0"/>
          <w:color w:val="auto"/>
          <w:spacing w:val="0"/>
          <w:sz w:val="32"/>
          <w:szCs w:val="32"/>
          <w:u w:val="none"/>
          <w:shd w:val="clear" w:color="auto" w:fill="FFFFFF"/>
        </w:rPr>
        <w:t xml:space="preserve">00 </w:t>
      </w:r>
      <w:r>
        <w:rPr>
          <w:rStyle w:val="8"/>
          <w:rFonts w:hint="eastAsia" w:ascii="仿宋" w:hAnsi="仿宋" w:eastAsia="仿宋" w:cs="仿宋"/>
          <w:b w:val="0"/>
          <w:bCs/>
          <w:i w:val="0"/>
          <w:iCs w:val="0"/>
          <w:caps w:val="0"/>
          <w:color w:val="auto"/>
          <w:spacing w:val="0"/>
          <w:sz w:val="32"/>
          <w:szCs w:val="32"/>
          <w:u w:val="none"/>
          <w:shd w:val="clear" w:color="auto" w:fill="FFFFFF"/>
          <w:lang w:val="en-US" w:eastAsia="zh-CN"/>
        </w:rPr>
        <w:t>余</w:t>
      </w:r>
      <w:r>
        <w:rPr>
          <w:rStyle w:val="8"/>
          <w:rFonts w:hint="eastAsia" w:ascii="仿宋" w:hAnsi="仿宋" w:eastAsia="仿宋" w:cs="仿宋"/>
          <w:b w:val="0"/>
          <w:bCs/>
          <w:i w:val="0"/>
          <w:iCs w:val="0"/>
          <w:caps w:val="0"/>
          <w:color w:val="auto"/>
          <w:spacing w:val="0"/>
          <w:sz w:val="32"/>
          <w:szCs w:val="32"/>
          <w:u w:val="none"/>
          <w:shd w:val="clear" w:color="auto" w:fill="FFFFFF"/>
        </w:rPr>
        <w:t>条</w:t>
      </w:r>
      <w:r>
        <w:rPr>
          <w:rStyle w:val="8"/>
          <w:rFonts w:hint="eastAsia" w:ascii="仿宋" w:hAnsi="仿宋" w:eastAsia="仿宋" w:cs="仿宋"/>
          <w:b w:val="0"/>
          <w:bCs/>
          <w:i w:val="0"/>
          <w:iCs w:val="0"/>
          <w:caps w:val="0"/>
          <w:color w:val="auto"/>
          <w:spacing w:val="0"/>
          <w:sz w:val="32"/>
          <w:szCs w:val="32"/>
          <w:u w:val="none"/>
          <w:shd w:val="clear" w:color="auto" w:fill="FFFFFF"/>
          <w:lang w:eastAsia="zh-CN"/>
        </w:rPr>
        <w:t>。2024</w:t>
      </w:r>
      <w:r>
        <w:rPr>
          <w:rStyle w:val="8"/>
          <w:rFonts w:hint="eastAsia" w:ascii="仿宋" w:hAnsi="仿宋" w:eastAsia="仿宋" w:cs="仿宋"/>
          <w:b w:val="0"/>
          <w:bCs/>
          <w:i w:val="0"/>
          <w:iCs w:val="0"/>
          <w:caps w:val="0"/>
          <w:color w:val="auto"/>
          <w:spacing w:val="0"/>
          <w:sz w:val="32"/>
          <w:szCs w:val="32"/>
          <w:u w:val="none"/>
          <w:shd w:val="clear" w:color="auto" w:fill="FFFFFF"/>
        </w:rPr>
        <w:t>年，我局主要通过南宫市人民政府</w:t>
      </w:r>
      <w:r>
        <w:rPr>
          <w:rStyle w:val="8"/>
          <w:rFonts w:hint="eastAsia" w:ascii="仿宋" w:hAnsi="仿宋" w:eastAsia="仿宋" w:cs="仿宋"/>
          <w:b w:val="0"/>
          <w:bCs/>
          <w:i w:val="0"/>
          <w:iCs w:val="0"/>
          <w:caps w:val="0"/>
          <w:color w:val="auto"/>
          <w:spacing w:val="0"/>
          <w:sz w:val="32"/>
          <w:szCs w:val="32"/>
          <w:u w:val="none"/>
          <w:shd w:val="clear" w:color="auto" w:fill="FFFFFF"/>
          <w:lang w:val="en-US" w:eastAsia="zh-CN"/>
        </w:rPr>
        <w:t>水务</w:t>
      </w:r>
      <w:r>
        <w:rPr>
          <w:rStyle w:val="8"/>
          <w:rFonts w:hint="eastAsia" w:ascii="仿宋" w:hAnsi="仿宋" w:eastAsia="仿宋" w:cs="仿宋"/>
          <w:b w:val="0"/>
          <w:bCs/>
          <w:i w:val="0"/>
          <w:iCs w:val="0"/>
          <w:caps w:val="0"/>
          <w:color w:val="auto"/>
          <w:spacing w:val="0"/>
          <w:sz w:val="32"/>
          <w:szCs w:val="32"/>
          <w:u w:val="none"/>
          <w:shd w:val="clear" w:color="auto" w:fill="FFFFFF"/>
        </w:rPr>
        <w:t>局专栏、</w:t>
      </w:r>
      <w:r>
        <w:rPr>
          <w:rStyle w:val="8"/>
          <w:rFonts w:hint="eastAsia" w:ascii="仿宋" w:hAnsi="仿宋" w:eastAsia="仿宋" w:cs="仿宋"/>
          <w:b w:val="0"/>
          <w:bCs/>
          <w:i w:val="0"/>
          <w:iCs w:val="0"/>
          <w:caps w:val="0"/>
          <w:color w:val="auto"/>
          <w:spacing w:val="0"/>
          <w:sz w:val="32"/>
          <w:szCs w:val="32"/>
          <w:u w:val="none"/>
          <w:shd w:val="clear" w:color="auto" w:fill="FFFFFF"/>
          <w:lang w:val="en-US" w:eastAsia="zh-CN"/>
        </w:rPr>
        <w:t>水务</w:t>
      </w:r>
      <w:r>
        <w:rPr>
          <w:rStyle w:val="8"/>
          <w:rFonts w:hint="eastAsia" w:ascii="仿宋" w:hAnsi="仿宋" w:eastAsia="仿宋" w:cs="仿宋"/>
          <w:b w:val="0"/>
          <w:bCs/>
          <w:i w:val="0"/>
          <w:iCs w:val="0"/>
          <w:caps w:val="0"/>
          <w:color w:val="auto"/>
          <w:spacing w:val="0"/>
          <w:sz w:val="32"/>
          <w:szCs w:val="32"/>
          <w:u w:val="none"/>
          <w:shd w:val="clear" w:color="auto" w:fill="FFFFFF"/>
        </w:rPr>
        <w:t>局党务政务公开栏</w:t>
      </w:r>
      <w:r>
        <w:rPr>
          <w:rStyle w:val="8"/>
          <w:rFonts w:hint="eastAsia" w:ascii="仿宋" w:hAnsi="仿宋" w:eastAsia="仿宋" w:cs="仿宋"/>
          <w:b w:val="0"/>
          <w:bCs/>
          <w:i w:val="0"/>
          <w:iCs w:val="0"/>
          <w:caps w:val="0"/>
          <w:color w:val="auto"/>
          <w:spacing w:val="0"/>
          <w:sz w:val="32"/>
          <w:szCs w:val="32"/>
          <w:u w:val="none"/>
          <w:shd w:val="clear" w:color="auto" w:fill="FFFFFF"/>
          <w:lang w:eastAsia="zh-CN"/>
        </w:rPr>
        <w:t>、</w:t>
      </w:r>
      <w:r>
        <w:rPr>
          <w:rStyle w:val="8"/>
          <w:rFonts w:hint="eastAsia" w:ascii="仿宋" w:hAnsi="仿宋" w:eastAsia="仿宋" w:cs="仿宋"/>
          <w:b w:val="0"/>
          <w:bCs/>
          <w:i w:val="0"/>
          <w:iCs w:val="0"/>
          <w:caps w:val="0"/>
          <w:color w:val="auto"/>
          <w:spacing w:val="0"/>
          <w:sz w:val="32"/>
          <w:szCs w:val="32"/>
          <w:u w:val="none"/>
          <w:shd w:val="clear" w:color="auto" w:fill="FFFFFF"/>
          <w:lang w:val="en-US" w:eastAsia="zh-CN"/>
        </w:rPr>
        <w:t>南宫市水务局公众号</w:t>
      </w:r>
      <w:r>
        <w:rPr>
          <w:rStyle w:val="8"/>
          <w:rFonts w:hint="eastAsia" w:ascii="仿宋" w:hAnsi="仿宋" w:eastAsia="仿宋" w:cs="仿宋"/>
          <w:b w:val="0"/>
          <w:bCs/>
          <w:i w:val="0"/>
          <w:iCs w:val="0"/>
          <w:caps w:val="0"/>
          <w:color w:val="auto"/>
          <w:spacing w:val="0"/>
          <w:sz w:val="32"/>
          <w:szCs w:val="32"/>
          <w:u w:val="none"/>
          <w:shd w:val="clear" w:color="auto" w:fill="FFFFFF"/>
        </w:rPr>
        <w:t>进行公开，注重以网站为第一平台，将政府信息公开专栏与网站其他栏目有机结合的形式发布，以备公众查阅。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仿宋" w:hAnsi="仿宋" w:eastAsia="仿宋" w:cs="仿宋"/>
          <w:i w:val="0"/>
          <w:iCs w:val="0"/>
          <w:caps w:val="0"/>
          <w:color w:val="auto"/>
          <w:spacing w:val="0"/>
          <w:sz w:val="32"/>
          <w:szCs w:val="32"/>
          <w:u w:val="none"/>
        </w:rPr>
      </w:pPr>
      <w:r>
        <w:rPr>
          <w:rStyle w:val="8"/>
          <w:rFonts w:hint="eastAsia" w:ascii="仿宋" w:hAnsi="仿宋" w:eastAsia="仿宋" w:cs="仿宋"/>
          <w:i w:val="0"/>
          <w:iCs w:val="0"/>
          <w:caps w:val="0"/>
          <w:color w:val="auto"/>
          <w:spacing w:val="0"/>
          <w:sz w:val="32"/>
          <w:szCs w:val="32"/>
          <w:u w:val="none"/>
          <w:shd w:val="clear" w:color="auto" w:fill="FFFFFF"/>
        </w:rPr>
        <w:t>（二）依申请公开。</w:t>
      </w:r>
      <w:r>
        <w:rPr>
          <w:rFonts w:hint="eastAsia" w:ascii="仿宋" w:hAnsi="仿宋" w:eastAsia="仿宋" w:cs="仿宋"/>
          <w:i w:val="0"/>
          <w:iCs w:val="0"/>
          <w:caps w:val="0"/>
          <w:color w:val="auto"/>
          <w:spacing w:val="0"/>
          <w:sz w:val="32"/>
          <w:szCs w:val="32"/>
          <w:u w:val="none"/>
          <w:shd w:val="clear" w:color="auto" w:fill="FFFFFF"/>
          <w:lang w:eastAsia="zh-CN"/>
        </w:rPr>
        <w:t>2024</w:t>
      </w:r>
      <w:r>
        <w:rPr>
          <w:rFonts w:hint="eastAsia" w:ascii="仿宋" w:hAnsi="仿宋" w:eastAsia="仿宋" w:cs="仿宋"/>
          <w:i w:val="0"/>
          <w:iCs w:val="0"/>
          <w:caps w:val="0"/>
          <w:color w:val="auto"/>
          <w:spacing w:val="0"/>
          <w:sz w:val="32"/>
          <w:szCs w:val="32"/>
          <w:u w:val="none"/>
          <w:shd w:val="clear" w:color="auto" w:fill="FFFFFF"/>
        </w:rPr>
        <w:t>年，我局共收到依申请公开0件。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60"/>
        <w:rPr>
          <w:rFonts w:hint="eastAsia" w:ascii="仿宋" w:hAnsi="仿宋" w:eastAsia="仿宋" w:cs="仿宋"/>
          <w:i w:val="0"/>
          <w:iCs w:val="0"/>
          <w:caps w:val="0"/>
          <w:color w:val="auto"/>
          <w:spacing w:val="0"/>
          <w:sz w:val="32"/>
          <w:szCs w:val="32"/>
          <w:u w:val="none"/>
        </w:rPr>
      </w:pPr>
      <w:r>
        <w:rPr>
          <w:rStyle w:val="8"/>
          <w:rFonts w:hint="eastAsia" w:ascii="仿宋" w:hAnsi="仿宋" w:eastAsia="仿宋" w:cs="仿宋"/>
          <w:i w:val="0"/>
          <w:iCs w:val="0"/>
          <w:caps w:val="0"/>
          <w:color w:val="auto"/>
          <w:spacing w:val="0"/>
          <w:sz w:val="32"/>
          <w:szCs w:val="32"/>
          <w:u w:val="none"/>
          <w:shd w:val="clear" w:color="auto" w:fill="FFFFFF"/>
        </w:rPr>
        <w:t>（三）信息管理。</w:t>
      </w:r>
      <w:r>
        <w:rPr>
          <w:rFonts w:hint="eastAsia" w:ascii="仿宋" w:hAnsi="仿宋" w:eastAsia="仿宋" w:cs="仿宋"/>
          <w:i w:val="0"/>
          <w:iCs w:val="0"/>
          <w:caps w:val="0"/>
          <w:color w:val="auto"/>
          <w:spacing w:val="0"/>
          <w:sz w:val="32"/>
          <w:szCs w:val="32"/>
          <w:u w:val="none"/>
          <w:shd w:val="clear" w:color="auto" w:fill="FFFFFF"/>
          <w:lang w:eastAsia="zh-CN"/>
        </w:rPr>
        <w:t>2024</w:t>
      </w:r>
      <w:r>
        <w:rPr>
          <w:rFonts w:hint="eastAsia" w:ascii="仿宋" w:hAnsi="仿宋" w:eastAsia="仿宋" w:cs="仿宋"/>
          <w:i w:val="0"/>
          <w:iCs w:val="0"/>
          <w:caps w:val="0"/>
          <w:color w:val="auto"/>
          <w:spacing w:val="0"/>
          <w:sz w:val="32"/>
          <w:szCs w:val="32"/>
          <w:u w:val="none"/>
          <w:shd w:val="clear" w:color="auto" w:fill="FFFFFF"/>
        </w:rPr>
        <w:t>年，我局未发生涉及政府信息公开行政复议案件；未发生涉及政府信息公开行政诉讼案件。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 w:hAnsi="仿宋" w:eastAsia="仿宋" w:cs="仿宋"/>
          <w:i w:val="0"/>
          <w:iCs w:val="0"/>
          <w:caps w:val="0"/>
          <w:color w:val="auto"/>
          <w:spacing w:val="0"/>
          <w:sz w:val="32"/>
          <w:szCs w:val="32"/>
          <w:u w:val="none"/>
        </w:rPr>
      </w:pPr>
      <w:r>
        <w:rPr>
          <w:rStyle w:val="8"/>
          <w:rFonts w:hint="eastAsia" w:ascii="仿宋" w:hAnsi="仿宋" w:eastAsia="仿宋" w:cs="仿宋"/>
          <w:i w:val="0"/>
          <w:iCs w:val="0"/>
          <w:caps w:val="0"/>
          <w:color w:val="auto"/>
          <w:spacing w:val="0"/>
          <w:sz w:val="32"/>
          <w:szCs w:val="32"/>
          <w:u w:val="none"/>
          <w:shd w:val="clear" w:color="auto" w:fill="FFFFFF"/>
        </w:rPr>
        <w:t>（四）公开平台。</w:t>
      </w:r>
      <w:r>
        <w:rPr>
          <w:rFonts w:hint="eastAsia" w:ascii="仿宋" w:hAnsi="仿宋" w:eastAsia="仿宋" w:cs="仿宋"/>
          <w:i w:val="0"/>
          <w:iCs w:val="0"/>
          <w:caps w:val="0"/>
          <w:color w:val="auto"/>
          <w:spacing w:val="0"/>
          <w:sz w:val="32"/>
          <w:szCs w:val="32"/>
          <w:u w:val="none"/>
          <w:shd w:val="clear" w:color="auto" w:fill="FFFFFF"/>
        </w:rPr>
        <w:t>南宫市人民政府政府信息公开平台作为我局政府信息和政务公开第一平台，及时发布新闻类、政务类、办事类、咨询类、宣传教育类、公共服务类等信息，保障公众知情权、参与权和监督权。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60"/>
        <w:rPr>
          <w:rFonts w:hint="eastAsia" w:ascii="仿宋" w:hAnsi="仿宋" w:eastAsia="仿宋" w:cs="仿宋"/>
          <w:i w:val="0"/>
          <w:iCs w:val="0"/>
          <w:caps w:val="0"/>
          <w:color w:val="auto"/>
          <w:spacing w:val="0"/>
          <w:sz w:val="32"/>
          <w:szCs w:val="32"/>
          <w:u w:val="none"/>
        </w:rPr>
      </w:pPr>
      <w:r>
        <w:rPr>
          <w:rStyle w:val="8"/>
          <w:rFonts w:hint="eastAsia" w:ascii="仿宋" w:hAnsi="仿宋" w:eastAsia="仿宋" w:cs="仿宋"/>
          <w:i w:val="0"/>
          <w:iCs w:val="0"/>
          <w:caps w:val="0"/>
          <w:color w:val="auto"/>
          <w:spacing w:val="0"/>
          <w:sz w:val="32"/>
          <w:szCs w:val="32"/>
          <w:u w:val="none"/>
          <w:shd w:val="clear" w:color="auto" w:fill="FFFFFF"/>
        </w:rPr>
        <w:t>（五）监督保障。</w:t>
      </w:r>
      <w:r>
        <w:rPr>
          <w:rFonts w:hint="eastAsia" w:ascii="仿宋" w:hAnsi="仿宋" w:eastAsia="仿宋" w:cs="仿宋"/>
          <w:i w:val="0"/>
          <w:iCs w:val="0"/>
          <w:caps w:val="0"/>
          <w:color w:val="auto"/>
          <w:spacing w:val="0"/>
          <w:sz w:val="32"/>
          <w:szCs w:val="32"/>
          <w:u w:val="none"/>
          <w:shd w:val="clear" w:color="auto" w:fill="FFFFFF"/>
        </w:rPr>
        <w:t>我局高度重视政府信息公开工作，由办公室管理政务公开工作，做好政务公开内容日常维护，发现问题第一时间整改。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480" w:lineRule="atLeast"/>
        <w:ind w:left="0" w:right="0" w:firstLine="645"/>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二、主动公开政府信息情况</w:t>
      </w:r>
    </w:p>
    <w:tbl>
      <w:tblPr>
        <w:tblStyle w:val="6"/>
        <w:tblW w:w="8205" w:type="dxa"/>
        <w:jc w:val="center"/>
        <w:tblCellSpacing w:w="15"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21"/>
        <w:gridCol w:w="1714"/>
        <w:gridCol w:w="1465"/>
        <w:gridCol w:w="1905"/>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jc w:val="center"/>
        </w:trPr>
        <w:tc>
          <w:tcPr>
            <w:tcW w:w="8205" w:type="dxa"/>
            <w:gridSpan w:val="4"/>
            <w:tcBorders>
              <w:top w:val="single" w:color="auto" w:sz="6" w:space="0"/>
              <w:left w:val="single" w:color="auto" w:sz="6" w:space="0"/>
              <w:bottom w:val="single" w:color="auto" w:sz="6" w:space="0"/>
              <w:right w:val="single" w:color="auto" w:sz="6" w:space="0"/>
            </w:tcBorders>
            <w:shd w:val="clear" w:color="auto" w:fill="C6D9F1"/>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第二十条第（一）项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blCellSpacing w:w="15" w:type="dxa"/>
          <w:jc w:val="center"/>
        </w:trPr>
        <w:tc>
          <w:tcPr>
            <w:tcW w:w="313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信息内容</w:t>
            </w:r>
          </w:p>
        </w:tc>
        <w:tc>
          <w:tcPr>
            <w:tcW w:w="1710"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本年制发件数</w:t>
            </w:r>
          </w:p>
        </w:tc>
        <w:tc>
          <w:tcPr>
            <w:tcW w:w="145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本年废止件数</w:t>
            </w:r>
          </w:p>
        </w:tc>
        <w:tc>
          <w:tcPr>
            <w:tcW w:w="189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现行有效件数</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15" w:type="dxa"/>
          <w:jc w:val="center"/>
        </w:trPr>
        <w:tc>
          <w:tcPr>
            <w:tcW w:w="313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规章</w:t>
            </w:r>
          </w:p>
        </w:tc>
        <w:tc>
          <w:tcPr>
            <w:tcW w:w="171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145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189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jc w:val="center"/>
        </w:trPr>
        <w:tc>
          <w:tcPr>
            <w:tcW w:w="313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行政规范性文件</w:t>
            </w:r>
          </w:p>
        </w:tc>
        <w:tc>
          <w:tcPr>
            <w:tcW w:w="171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145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189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jc w:val="center"/>
        </w:trPr>
        <w:tc>
          <w:tcPr>
            <w:tcW w:w="8205" w:type="dxa"/>
            <w:gridSpan w:val="4"/>
            <w:tcBorders>
              <w:top w:val="nil"/>
              <w:left w:val="single" w:color="auto" w:sz="6" w:space="0"/>
              <w:bottom w:val="single" w:color="auto" w:sz="6" w:space="0"/>
              <w:right w:val="single" w:color="auto" w:sz="6" w:space="0"/>
            </w:tcBorders>
            <w:shd w:val="clear" w:color="auto" w:fill="C6D9F1"/>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第二十条第（五）项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PrEx>
        <w:trPr>
          <w:trHeight w:val="645" w:hRule="atLeast"/>
          <w:tblCellSpacing w:w="15" w:type="dxa"/>
          <w:jc w:val="center"/>
        </w:trPr>
        <w:tc>
          <w:tcPr>
            <w:tcW w:w="313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信息内容</w:t>
            </w:r>
          </w:p>
        </w:tc>
        <w:tc>
          <w:tcPr>
            <w:tcW w:w="5070" w:type="dxa"/>
            <w:gridSpan w:val="3"/>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本年处理决定数量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30" w:hRule="atLeast"/>
          <w:tblCellSpacing w:w="15" w:type="dxa"/>
          <w:jc w:val="center"/>
        </w:trPr>
        <w:tc>
          <w:tcPr>
            <w:tcW w:w="313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行政许可</w:t>
            </w:r>
          </w:p>
        </w:tc>
        <w:tc>
          <w:tcPr>
            <w:tcW w:w="5070" w:type="dxa"/>
            <w:gridSpan w:val="3"/>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jc w:val="center"/>
        </w:trPr>
        <w:tc>
          <w:tcPr>
            <w:tcW w:w="8205" w:type="dxa"/>
            <w:gridSpan w:val="4"/>
            <w:tcBorders>
              <w:top w:val="nil"/>
              <w:left w:val="single" w:color="auto" w:sz="6" w:space="0"/>
              <w:bottom w:val="single" w:color="auto" w:sz="6" w:space="0"/>
              <w:right w:val="single" w:color="auto" w:sz="6" w:space="0"/>
            </w:tcBorders>
            <w:shd w:val="clear" w:color="auto" w:fill="C6D9F1"/>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第二十条第（六）项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PrEx>
        <w:trPr>
          <w:trHeight w:val="750" w:hRule="atLeast"/>
          <w:tblCellSpacing w:w="15" w:type="dxa"/>
          <w:jc w:val="center"/>
        </w:trPr>
        <w:tc>
          <w:tcPr>
            <w:tcW w:w="313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信息内容</w:t>
            </w:r>
          </w:p>
        </w:tc>
        <w:tc>
          <w:tcPr>
            <w:tcW w:w="5070" w:type="dxa"/>
            <w:gridSpan w:val="3"/>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本年处理决定数量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jc w:val="center"/>
        </w:trPr>
        <w:tc>
          <w:tcPr>
            <w:tcW w:w="313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行政处罚</w:t>
            </w:r>
          </w:p>
        </w:tc>
        <w:tc>
          <w:tcPr>
            <w:tcW w:w="5070" w:type="dxa"/>
            <w:gridSpan w:val="3"/>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jc w:val="center"/>
        </w:trPr>
        <w:tc>
          <w:tcPr>
            <w:tcW w:w="313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行政强制</w:t>
            </w:r>
          </w:p>
        </w:tc>
        <w:tc>
          <w:tcPr>
            <w:tcW w:w="5070" w:type="dxa"/>
            <w:gridSpan w:val="3"/>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jc w:val="center"/>
        </w:trPr>
        <w:tc>
          <w:tcPr>
            <w:tcW w:w="8205" w:type="dxa"/>
            <w:gridSpan w:val="4"/>
            <w:tcBorders>
              <w:top w:val="nil"/>
              <w:left w:val="single" w:color="auto" w:sz="6" w:space="0"/>
              <w:bottom w:val="single" w:color="auto" w:sz="6" w:space="0"/>
              <w:right w:val="single" w:color="auto" w:sz="6" w:space="0"/>
            </w:tcBorders>
            <w:shd w:val="clear" w:color="auto" w:fill="C6D9F1"/>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第二十条第（八）项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PrEx>
        <w:trPr>
          <w:trHeight w:val="600" w:hRule="atLeast"/>
          <w:tblCellSpacing w:w="15" w:type="dxa"/>
          <w:jc w:val="center"/>
        </w:trPr>
        <w:tc>
          <w:tcPr>
            <w:tcW w:w="313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信息内容</w:t>
            </w:r>
          </w:p>
        </w:tc>
        <w:tc>
          <w:tcPr>
            <w:tcW w:w="5070" w:type="dxa"/>
            <w:gridSpan w:val="3"/>
            <w:tcBorders>
              <w:top w:val="nil"/>
              <w:left w:val="nil"/>
              <w:bottom w:val="single" w:color="auto" w:sz="6" w:space="0"/>
              <w:right w:val="single" w:color="000000"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本年收费金额（单位：万元）</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PrEx>
        <w:trPr>
          <w:trHeight w:val="720" w:hRule="atLeast"/>
          <w:tblCellSpacing w:w="15" w:type="dxa"/>
          <w:jc w:val="center"/>
        </w:trPr>
        <w:tc>
          <w:tcPr>
            <w:tcW w:w="313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行政事业性收费</w:t>
            </w:r>
          </w:p>
        </w:tc>
        <w:tc>
          <w:tcPr>
            <w:tcW w:w="5070" w:type="dxa"/>
            <w:gridSpan w:val="3"/>
            <w:tcBorders>
              <w:top w:val="nil"/>
              <w:left w:val="nil"/>
              <w:bottom w:val="single" w:color="auto" w:sz="6" w:space="0"/>
              <w:right w:val="single" w:color="000000"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480" w:lineRule="atLeast"/>
        <w:ind w:left="0" w:right="0" w:firstLine="645"/>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三、收到和处理政府信息公开申请情况</w:t>
      </w:r>
    </w:p>
    <w:tbl>
      <w:tblPr>
        <w:tblStyle w:val="6"/>
        <w:tblW w:w="9135" w:type="dxa"/>
        <w:jc w:val="center"/>
        <w:tblCellSpacing w:w="15"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5"/>
        <w:gridCol w:w="1215"/>
        <w:gridCol w:w="1964"/>
        <w:gridCol w:w="799"/>
        <w:gridCol w:w="644"/>
        <w:gridCol w:w="634"/>
        <w:gridCol w:w="810"/>
        <w:gridCol w:w="810"/>
        <w:gridCol w:w="665"/>
        <w:gridCol w:w="669"/>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jc w:val="center"/>
        </w:trPr>
        <w:tc>
          <w:tcPr>
            <w:tcW w:w="3900" w:type="dxa"/>
            <w:gridSpan w:val="3"/>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（本列数据的勾稽关系为：第一项加第二项之和，等于第三项加第四项之和）</w:t>
            </w:r>
          </w:p>
        </w:tc>
        <w:tc>
          <w:tcPr>
            <w:tcW w:w="5250" w:type="dxa"/>
            <w:gridSpan w:val="7"/>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申请人情况</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jc w:val="center"/>
        </w:trPr>
        <w:tc>
          <w:tcPr>
            <w:tcW w:w="3900" w:type="dxa"/>
            <w:gridSpan w:val="3"/>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70" w:type="dxa"/>
            <w:vMerge w:val="restart"/>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自然人</w:t>
            </w:r>
          </w:p>
        </w:tc>
        <w:tc>
          <w:tcPr>
            <w:tcW w:w="3720" w:type="dxa"/>
            <w:gridSpan w:val="5"/>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法人或其他组织</w:t>
            </w:r>
          </w:p>
        </w:tc>
        <w:tc>
          <w:tcPr>
            <w:tcW w:w="660" w:type="dxa"/>
            <w:vMerge w:val="restart"/>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总计</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jc w:val="center"/>
        </w:trPr>
        <w:tc>
          <w:tcPr>
            <w:tcW w:w="3900" w:type="dxa"/>
            <w:gridSpan w:val="3"/>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70"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商业企业</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科研机构</w:t>
            </w:r>
          </w:p>
        </w:tc>
        <w:tc>
          <w:tcPr>
            <w:tcW w:w="88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社会公益组织</w:t>
            </w:r>
          </w:p>
        </w:tc>
        <w:tc>
          <w:tcPr>
            <w:tcW w:w="88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法律服务机构</w:t>
            </w:r>
          </w:p>
        </w:tc>
        <w:tc>
          <w:tcPr>
            <w:tcW w:w="67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其他</w:t>
            </w:r>
          </w:p>
        </w:tc>
        <w:tc>
          <w:tcPr>
            <w:tcW w:w="66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jc w:val="center"/>
        </w:trPr>
        <w:tc>
          <w:tcPr>
            <w:tcW w:w="3900" w:type="dxa"/>
            <w:gridSpan w:val="3"/>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一、本年新收政府信息公开申请数量</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bookmarkStart w:id="0" w:name="_GoBack"/>
            <w:bookmarkEnd w:id="0"/>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jc w:val="center"/>
        </w:trPr>
        <w:tc>
          <w:tcPr>
            <w:tcW w:w="3900" w:type="dxa"/>
            <w:gridSpan w:val="3"/>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二、上年结转政府信息公开申请数量</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jc w:val="center"/>
        </w:trPr>
        <w:tc>
          <w:tcPr>
            <w:tcW w:w="630" w:type="dxa"/>
            <w:vMerge w:val="restart"/>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三、本年度办理结果</w:t>
            </w:r>
          </w:p>
        </w:tc>
        <w:tc>
          <w:tcPr>
            <w:tcW w:w="3270" w:type="dxa"/>
            <w:gridSpan w:val="2"/>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（一）予以公开</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3270" w:type="dxa"/>
            <w:gridSpan w:val="2"/>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（二）部分公开（区分处理的，只计这一情形，不计其他情形）</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restart"/>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（三）不予公开</w:t>
            </w: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1.属于国家秘密</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2.其他法律行政法规禁止公开</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3.危及“三安全一稳定”</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4.保护第三方合法权益</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5.属于三类内部事务信息</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6.属于四类过程性信息</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7.属于行政执法案卷</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8.属于行政查询事项</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15"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restart"/>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（四）无法提供</w:t>
            </w: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1.本机关不掌握相关政府信息</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15"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2.没有现成信息需要另行制作</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15"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3.补正后申请内容仍不明确</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restart"/>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（五）不予处理</w:t>
            </w: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1.信访举报投诉类申请</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2.重复申请</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3.要求提供公开出版物</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4.无正当理由大量反复申请</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5.要求行政机关确认或重新出具已获取信息</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60"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restart"/>
            <w:tcBorders>
              <w:top w:val="nil"/>
              <w:left w:val="nil"/>
              <w:bottom w:val="outset"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（六）其他处理</w:t>
            </w: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1.申请人无正当理由逾期不补正、行政机关不再处理其政府信息公开申请</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60"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outset"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2.申请人逾期未按收费通知要求缴纳费用、行政机关不再处理其政府信息公开申请</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855" w:type="dxa"/>
            <w:vMerge w:val="continue"/>
            <w:tcBorders>
              <w:top w:val="nil"/>
              <w:left w:val="nil"/>
              <w:bottom w:val="outset"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24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3.其他</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jc w:val="center"/>
        </w:trPr>
        <w:tc>
          <w:tcPr>
            <w:tcW w:w="63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3270" w:type="dxa"/>
            <w:gridSpan w:val="2"/>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（七）总计</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30" w:hRule="atLeast"/>
          <w:tblCellSpacing w:w="15" w:type="dxa"/>
          <w:jc w:val="center"/>
        </w:trPr>
        <w:tc>
          <w:tcPr>
            <w:tcW w:w="3900" w:type="dxa"/>
            <w:gridSpan w:val="3"/>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四、结转下年度继续办理</w:t>
            </w:r>
          </w:p>
        </w:tc>
        <w:tc>
          <w:tcPr>
            <w:tcW w:w="8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4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8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7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6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480" w:lineRule="atLeast"/>
        <w:ind w:left="0" w:right="0" w:firstLine="645"/>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四、政府信息公开行政复议、行政诉讼情况</w:t>
      </w:r>
    </w:p>
    <w:tbl>
      <w:tblPr>
        <w:tblStyle w:val="6"/>
        <w:tblW w:w="9165" w:type="dxa"/>
        <w:jc w:val="center"/>
        <w:tblCellSpacing w:w="15"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5"/>
        <w:gridCol w:w="580"/>
        <w:gridCol w:w="595"/>
        <w:gridCol w:w="609"/>
        <w:gridCol w:w="668"/>
        <w:gridCol w:w="580"/>
        <w:gridCol w:w="609"/>
        <w:gridCol w:w="609"/>
        <w:gridCol w:w="609"/>
        <w:gridCol w:w="616"/>
        <w:gridCol w:w="609"/>
        <w:gridCol w:w="609"/>
        <w:gridCol w:w="609"/>
        <w:gridCol w:w="575"/>
        <w:gridCol w:w="683"/>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CellSpacing w:w="15" w:type="dxa"/>
          <w:jc w:val="center"/>
        </w:trPr>
        <w:tc>
          <w:tcPr>
            <w:tcW w:w="304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行政复议</w:t>
            </w:r>
          </w:p>
        </w:tc>
        <w:tc>
          <w:tcPr>
            <w:tcW w:w="6120" w:type="dxa"/>
            <w:gridSpan w:val="10"/>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行政诉讼</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55" w:hRule="atLeast"/>
          <w:tblCellSpacing w:w="15" w:type="dxa"/>
          <w:jc w:val="center"/>
        </w:trPr>
        <w:tc>
          <w:tcPr>
            <w:tcW w:w="555" w:type="dxa"/>
            <w:vMerge w:val="restart"/>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结果维持</w:t>
            </w:r>
          </w:p>
        </w:tc>
        <w:tc>
          <w:tcPr>
            <w:tcW w:w="555" w:type="dxa"/>
            <w:vMerge w:val="restart"/>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结果纠正</w:t>
            </w:r>
          </w:p>
        </w:tc>
        <w:tc>
          <w:tcPr>
            <w:tcW w:w="585" w:type="dxa"/>
            <w:vMerge w:val="restart"/>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其他结果</w:t>
            </w:r>
          </w:p>
        </w:tc>
        <w:tc>
          <w:tcPr>
            <w:tcW w:w="615" w:type="dxa"/>
            <w:vMerge w:val="restart"/>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尚未审结</w:t>
            </w:r>
          </w:p>
        </w:tc>
        <w:tc>
          <w:tcPr>
            <w:tcW w:w="735" w:type="dxa"/>
            <w:vMerge w:val="restart"/>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总计</w:t>
            </w:r>
          </w:p>
        </w:tc>
        <w:tc>
          <w:tcPr>
            <w:tcW w:w="3030" w:type="dxa"/>
            <w:gridSpan w:val="5"/>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未经复议直接起诉</w:t>
            </w:r>
          </w:p>
        </w:tc>
        <w:tc>
          <w:tcPr>
            <w:tcW w:w="3090" w:type="dxa"/>
            <w:gridSpan w:val="5"/>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复议后起诉</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140" w:hRule="atLeast"/>
          <w:tblCellSpacing w:w="15" w:type="dxa"/>
          <w:jc w:val="center"/>
        </w:trPr>
        <w:tc>
          <w:tcPr>
            <w:tcW w:w="555"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555" w:type="dxa"/>
            <w:vMerge w:val="continue"/>
            <w:tcBorders>
              <w:top w:val="nil"/>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585"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615"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735"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rPr>
                <w:rFonts w:hint="eastAsia" w:ascii="仿宋" w:hAnsi="仿宋" w:eastAsia="仿宋" w:cs="仿宋"/>
                <w:i w:val="0"/>
                <w:iCs w:val="0"/>
                <w:caps w:val="0"/>
                <w:color w:val="auto"/>
                <w:spacing w:val="0"/>
                <w:sz w:val="32"/>
                <w:szCs w:val="32"/>
                <w:u w:val="none"/>
              </w:rPr>
            </w:pPr>
          </w:p>
        </w:tc>
        <w:tc>
          <w:tcPr>
            <w:tcW w:w="55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结果维持</w:t>
            </w:r>
          </w:p>
        </w:tc>
        <w:tc>
          <w:tcPr>
            <w:tcW w:w="6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结果纠正</w:t>
            </w:r>
          </w:p>
        </w:tc>
        <w:tc>
          <w:tcPr>
            <w:tcW w:w="61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其他结果</w:t>
            </w:r>
          </w:p>
        </w:tc>
        <w:tc>
          <w:tcPr>
            <w:tcW w:w="61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尚未审结</w:t>
            </w:r>
          </w:p>
        </w:tc>
        <w:tc>
          <w:tcPr>
            <w:tcW w:w="630"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总计</w:t>
            </w:r>
          </w:p>
        </w:tc>
        <w:tc>
          <w:tcPr>
            <w:tcW w:w="61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结果维持</w:t>
            </w:r>
          </w:p>
        </w:tc>
        <w:tc>
          <w:tcPr>
            <w:tcW w:w="61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结果纠正</w:t>
            </w:r>
          </w:p>
        </w:tc>
        <w:tc>
          <w:tcPr>
            <w:tcW w:w="61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其他结果</w:t>
            </w:r>
          </w:p>
        </w:tc>
        <w:tc>
          <w:tcPr>
            <w:tcW w:w="510"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尚未审结</w:t>
            </w:r>
          </w:p>
        </w:tc>
        <w:tc>
          <w:tcPr>
            <w:tcW w:w="73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总计</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jc w:val="center"/>
        </w:trPr>
        <w:tc>
          <w:tcPr>
            <w:tcW w:w="55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55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5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73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55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3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61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51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c>
          <w:tcPr>
            <w:tcW w:w="73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aps w:val="0"/>
                <w:color w:val="auto"/>
                <w:spacing w:val="0"/>
                <w:sz w:val="32"/>
                <w:szCs w:val="32"/>
                <w:u w:val="none"/>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5"/>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五、存在的主要问题及改进情况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15"/>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lang w:eastAsia="zh-CN"/>
        </w:rPr>
        <w:t>2024</w:t>
      </w:r>
      <w:r>
        <w:rPr>
          <w:rFonts w:hint="eastAsia" w:ascii="仿宋" w:hAnsi="仿宋" w:eastAsia="仿宋" w:cs="仿宋"/>
          <w:i w:val="0"/>
          <w:iCs w:val="0"/>
          <w:caps w:val="0"/>
          <w:color w:val="auto"/>
          <w:spacing w:val="0"/>
          <w:sz w:val="32"/>
          <w:szCs w:val="32"/>
          <w:u w:val="none"/>
          <w:shd w:val="clear" w:color="auto" w:fill="FFFFFF"/>
        </w:rPr>
        <w:t>年, 我局政府信息公开工作取得一定成效, 但政务公开意识有待提高, 业务能力还需要进一步增强。下一步, 我们将加强政务公开宣传力度, 拓宽信息公开渠道, 进一步加强载体建设, 创新工作方式, 充分有效利用多种媒介开展政务公开工作, 进一步增强业务能力, 提高服务水平。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5"/>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5"/>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u w:val="none"/>
          <w:shd w:val="clear" w:color="auto" w:fill="FFFFFF"/>
        </w:rPr>
        <w:t>认真贯彻执行国务院办公厅《政府信息公开信息处理费管理办法》和《关于政府信息公开处理费管理有关事项的通知》。</w:t>
      </w:r>
      <w:r>
        <w:rPr>
          <w:rFonts w:hint="eastAsia" w:ascii="仿宋" w:hAnsi="仿宋" w:eastAsia="仿宋" w:cs="仿宋"/>
          <w:i w:val="0"/>
          <w:iCs w:val="0"/>
          <w:caps w:val="0"/>
          <w:color w:val="auto"/>
          <w:spacing w:val="0"/>
          <w:sz w:val="32"/>
          <w:szCs w:val="32"/>
          <w:u w:val="none"/>
          <w:shd w:val="clear" w:color="auto" w:fill="FFFFFF"/>
          <w:lang w:eastAsia="zh-CN"/>
        </w:rPr>
        <w:t>2024</w:t>
      </w:r>
      <w:r>
        <w:rPr>
          <w:rFonts w:hint="eastAsia" w:ascii="仿宋" w:hAnsi="仿宋" w:eastAsia="仿宋" w:cs="仿宋"/>
          <w:i w:val="0"/>
          <w:iCs w:val="0"/>
          <w:caps w:val="0"/>
          <w:color w:val="auto"/>
          <w:spacing w:val="0"/>
          <w:sz w:val="32"/>
          <w:szCs w:val="32"/>
          <w:u w:val="none"/>
          <w:shd w:val="clear" w:color="auto" w:fill="FFFFFF"/>
        </w:rPr>
        <w:t>年未收取信息处理费。</w:t>
      </w:r>
    </w:p>
    <w:p>
      <w:pPr>
        <w:rPr>
          <w:color w:val="auto"/>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50B7"/>
    <w:rsid w:val="05832D5D"/>
    <w:rsid w:val="109148C0"/>
    <w:rsid w:val="4ABB5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2025-02-20T02:01:00Z</dcterms:created>
  <dc:creator> 佑宝她爹</dc:creator>
  <cp:lastModifiedBy> 佑宝她爹</cp:lastModifiedBy>
  <dcterms:modified xsi:type="dcterms:W3CDTF">2025-02-20T08:39:07Z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93488C5A074B429FB6CD7EA11AE43EDD</vt:lpwstr>
  </property>
</Properties>
</file>