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516"/>
        <w:rPr>
          <w:rFonts w:hint="eastAsia" w:ascii="仿宋" w:hAnsi="仿宋" w:eastAsia="仿宋" w:cs="仿宋"/>
          <w:i w:val="0"/>
          <w:iCs w:val="0"/>
          <w:caps w:val="0"/>
          <w:color w:val="424242"/>
          <w:spacing w:val="0"/>
          <w:sz w:val="25"/>
          <w:szCs w:val="25"/>
          <w:u w:val="none"/>
          <w:shd w:val="clear" w:fill="FFFFFF"/>
        </w:rPr>
      </w:pPr>
      <w:bookmarkStart w:id="0" w:name="OLE_LINK1"/>
      <w:r>
        <w:rPr>
          <w:rFonts w:ascii="仿宋" w:hAnsi="仿宋" w:eastAsia="仿宋" w:cs="仿宋"/>
          <w:i w:val="0"/>
          <w:iCs w:val="0"/>
          <w:caps w:val="0"/>
          <w:color w:val="424242"/>
          <w:spacing w:val="0"/>
          <w:sz w:val="25"/>
          <w:szCs w:val="25"/>
          <w:u w:val="none"/>
          <w:shd w:val="clear" w:fill="FFFFFF"/>
        </w:rPr>
        <w:t>根据《中华人民共和国政府信息公开条例》《河北省实施〈中华人民共和国政府信息公开条例〉办法</w:t>
      </w:r>
      <w:bookmarkStart w:id="1" w:name="_GoBack"/>
      <w:bookmarkEnd w:id="1"/>
      <w:r>
        <w:rPr>
          <w:rFonts w:ascii="仿宋" w:hAnsi="仿宋" w:eastAsia="仿宋" w:cs="仿宋"/>
          <w:i w:val="0"/>
          <w:iCs w:val="0"/>
          <w:caps w:val="0"/>
          <w:color w:val="424242"/>
          <w:spacing w:val="0"/>
          <w:sz w:val="25"/>
          <w:szCs w:val="25"/>
          <w:u w:val="none"/>
          <w:shd w:val="clear" w:fill="FFFFFF"/>
        </w:rPr>
        <w:t>》等规定，发布本年度报告。报告中所列数据统计期限为</w:t>
      </w:r>
      <w:r>
        <w:rPr>
          <w:rFonts w:hint="eastAsia" w:ascii="仿宋" w:hAnsi="仿宋" w:eastAsia="仿宋" w:cs="仿宋"/>
          <w:i w:val="0"/>
          <w:iCs w:val="0"/>
          <w:caps w:val="0"/>
          <w:color w:val="424242"/>
          <w:spacing w:val="0"/>
          <w:sz w:val="25"/>
          <w:szCs w:val="25"/>
          <w:u w:val="none"/>
          <w:shd w:val="clear" w:fill="FFFFFF"/>
        </w:rPr>
        <w:t>2024年1月1日至12月31日。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0"/>
        <w:rPr>
          <w:rFonts w:ascii="微软雅黑" w:hAnsi="微软雅黑" w:eastAsia="微软雅黑" w:cs="微软雅黑"/>
          <w:i w:val="0"/>
          <w:iCs w:val="0"/>
          <w:caps w:val="0"/>
          <w:color w:val="666666"/>
          <w:spacing w:val="0"/>
          <w:sz w:val="27"/>
          <w:szCs w:val="27"/>
          <w:u w:val="none"/>
        </w:rPr>
      </w:pPr>
      <w:r>
        <w:rPr>
          <w:rFonts w:ascii="黑体" w:hAnsi="宋体" w:eastAsia="黑体" w:cs="黑体"/>
          <w:i w:val="0"/>
          <w:iCs w:val="0"/>
          <w:caps w:val="0"/>
          <w:color w:val="424242"/>
          <w:spacing w:val="0"/>
          <w:sz w:val="25"/>
          <w:szCs w:val="25"/>
          <w:u w:val="none"/>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516"/>
        <w:rPr>
          <w:rFonts w:hint="eastAsia" w:ascii="微软雅黑" w:hAnsi="微软雅黑" w:eastAsia="微软雅黑" w:cs="微软雅黑"/>
          <w:i w:val="0"/>
          <w:iCs w:val="0"/>
          <w:caps w:val="0"/>
          <w:color w:val="666666"/>
          <w:spacing w:val="0"/>
          <w:sz w:val="27"/>
          <w:szCs w:val="27"/>
          <w:u w:val="none"/>
        </w:rPr>
      </w:pPr>
      <w:r>
        <w:rPr>
          <w:rFonts w:ascii="仿宋" w:hAnsi="仿宋" w:eastAsia="仿宋" w:cs="仿宋"/>
          <w:i w:val="0"/>
          <w:iCs w:val="0"/>
          <w:caps w:val="0"/>
          <w:color w:val="424242"/>
          <w:spacing w:val="0"/>
          <w:sz w:val="25"/>
          <w:szCs w:val="25"/>
          <w:u w:val="none"/>
          <w:shd w:val="clear" w:fill="FFFFFF"/>
        </w:rPr>
        <w:t>国家税务总局南宫市税务局</w:t>
      </w:r>
      <w:r>
        <w:rPr>
          <w:rFonts w:hint="eastAsia" w:ascii="仿宋" w:hAnsi="仿宋" w:eastAsia="仿宋" w:cs="仿宋"/>
          <w:i w:val="0"/>
          <w:iCs w:val="0"/>
          <w:caps w:val="0"/>
          <w:color w:val="424242"/>
          <w:spacing w:val="0"/>
          <w:sz w:val="25"/>
          <w:szCs w:val="25"/>
          <w:u w:val="none"/>
          <w:shd w:val="clear" w:fill="FFFFFF"/>
        </w:rPr>
        <w:t>深入贯彻落实《中华人民共和国政府信息公开条例》规定，严格按照省、邢台市税务局和南宫市委、市政府关于全面推进政务公开的统一部署，坚持聚焦中心工作，依法依规推进重点领域公开为重点，进一步加强信息发布、解读，回应社会关切，规范政府信息公开程序，全面推进政府信息公开工作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516"/>
        <w:rPr>
          <w:rFonts w:hint="eastAsia" w:ascii="微软雅黑" w:hAnsi="微软雅黑" w:eastAsia="微软雅黑" w:cs="微软雅黑"/>
          <w:i w:val="0"/>
          <w:iCs w:val="0"/>
          <w:caps w:val="0"/>
          <w:color w:val="666666"/>
          <w:spacing w:val="0"/>
          <w:sz w:val="27"/>
          <w:szCs w:val="27"/>
          <w:u w:val="none"/>
        </w:rPr>
      </w:pPr>
      <w:r>
        <w:rPr>
          <w:rFonts w:ascii="楷体_GB2312" w:hAnsi="微软雅黑" w:eastAsia="楷体_GB2312" w:cs="楷体_GB2312"/>
          <w:i w:val="0"/>
          <w:iCs w:val="0"/>
          <w:caps w:val="0"/>
          <w:color w:val="424242"/>
          <w:spacing w:val="0"/>
          <w:sz w:val="25"/>
          <w:szCs w:val="25"/>
          <w:u w:val="none"/>
          <w:shd w:val="clear" w:fill="FFFFFF"/>
        </w:rPr>
        <w:t>（一）主动公开。</w:t>
      </w:r>
      <w:r>
        <w:rPr>
          <w:rFonts w:hint="eastAsia" w:ascii="仿宋" w:hAnsi="仿宋" w:eastAsia="仿宋" w:cs="仿宋"/>
          <w:i w:val="0"/>
          <w:iCs w:val="0"/>
          <w:caps w:val="0"/>
          <w:color w:val="666666"/>
          <w:spacing w:val="0"/>
          <w:sz w:val="19"/>
          <w:szCs w:val="19"/>
          <w:u w:val="none"/>
          <w:shd w:val="clear" w:fill="FFFFFF"/>
        </w:rPr>
        <w:t>严格按照邢台市税务局关于政府信息公开工作部署要求，坚持遵循“以公开为原则，不公开为例外”的原则，及时准确、全面公开权责清单。不断强化推进、指导、协调、监督政务公开工作的职能，明确部门职责，指定专人负责具体事项，及时更新政策指引，按照税收管理领域基层政务公开要求，主动对税务行政许可、A级纳税人名单、委托代征公告等各项信息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16"/>
        <w:rPr>
          <w:rFonts w:hint="eastAsia" w:ascii="微软雅黑" w:hAnsi="微软雅黑" w:eastAsia="微软雅黑" w:cs="微软雅黑"/>
          <w:i w:val="0"/>
          <w:iCs w:val="0"/>
          <w:caps w:val="0"/>
          <w:color w:val="666666"/>
          <w:spacing w:val="0"/>
          <w:sz w:val="27"/>
          <w:szCs w:val="27"/>
          <w:u w:val="none"/>
        </w:rPr>
      </w:pPr>
      <w:r>
        <w:rPr>
          <w:rFonts w:hint="eastAsia" w:ascii="楷体_GB2312" w:hAnsi="微软雅黑" w:eastAsia="楷体_GB2312" w:cs="楷体_GB2312"/>
          <w:i w:val="0"/>
          <w:iCs w:val="0"/>
          <w:caps w:val="0"/>
          <w:color w:val="424242"/>
          <w:spacing w:val="0"/>
          <w:sz w:val="25"/>
          <w:szCs w:val="25"/>
          <w:u w:val="none"/>
          <w:shd w:val="clear" w:fill="FFFFFF"/>
        </w:rPr>
        <w:t>（二）依申请公开。</w:t>
      </w:r>
      <w:r>
        <w:rPr>
          <w:rFonts w:hint="eastAsia" w:ascii="仿宋" w:hAnsi="仿宋" w:eastAsia="仿宋" w:cs="仿宋"/>
          <w:i w:val="0"/>
          <w:iCs w:val="0"/>
          <w:caps w:val="0"/>
          <w:color w:val="666666"/>
          <w:spacing w:val="0"/>
          <w:sz w:val="19"/>
          <w:szCs w:val="19"/>
          <w:u w:val="none"/>
          <w:shd w:val="clear" w:fill="FFFFFF"/>
        </w:rPr>
        <w:t>根据《条例》要求，不断加强依申请公开工作力度，完善依申请公开受理机制，有序地推进信息依申请公开工作。202</w:t>
      </w:r>
      <w:r>
        <w:rPr>
          <w:rFonts w:hint="eastAsia" w:ascii="仿宋" w:hAnsi="仿宋" w:eastAsia="仿宋" w:cs="仿宋"/>
          <w:i w:val="0"/>
          <w:iCs w:val="0"/>
          <w:caps w:val="0"/>
          <w:color w:val="666666"/>
          <w:spacing w:val="0"/>
          <w:sz w:val="19"/>
          <w:szCs w:val="19"/>
          <w:u w:val="none"/>
          <w:shd w:val="clear" w:fill="FFFFFF"/>
          <w:lang w:val="en-US" w:eastAsia="zh-CN"/>
        </w:rPr>
        <w:t>4</w:t>
      </w:r>
      <w:r>
        <w:rPr>
          <w:rFonts w:hint="eastAsia" w:ascii="仿宋" w:hAnsi="仿宋" w:eastAsia="仿宋" w:cs="仿宋"/>
          <w:i w:val="0"/>
          <w:iCs w:val="0"/>
          <w:caps w:val="0"/>
          <w:color w:val="666666"/>
          <w:spacing w:val="0"/>
          <w:sz w:val="19"/>
          <w:szCs w:val="19"/>
          <w:u w:val="none"/>
          <w:shd w:val="clear" w:fill="FFFFFF"/>
        </w:rPr>
        <w:t>年，南宫市税务局未收到信息公开申请。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516"/>
        <w:rPr>
          <w:rFonts w:hint="eastAsia" w:ascii="微软雅黑" w:hAnsi="微软雅黑" w:eastAsia="微软雅黑" w:cs="微软雅黑"/>
          <w:i w:val="0"/>
          <w:iCs w:val="0"/>
          <w:caps w:val="0"/>
          <w:color w:val="666666"/>
          <w:spacing w:val="0"/>
          <w:sz w:val="27"/>
          <w:szCs w:val="27"/>
          <w:u w:val="none"/>
        </w:rPr>
      </w:pPr>
      <w:r>
        <w:rPr>
          <w:rFonts w:hint="eastAsia" w:ascii="楷体_GB2312" w:hAnsi="微软雅黑" w:eastAsia="楷体_GB2312" w:cs="楷体_GB2312"/>
          <w:i w:val="0"/>
          <w:iCs w:val="0"/>
          <w:caps w:val="0"/>
          <w:color w:val="424242"/>
          <w:spacing w:val="0"/>
          <w:sz w:val="25"/>
          <w:szCs w:val="25"/>
          <w:u w:val="none"/>
          <w:shd w:val="clear" w:fill="FFFFFF"/>
        </w:rPr>
        <w:t>（三）政府信息管理。</w:t>
      </w:r>
      <w:r>
        <w:rPr>
          <w:rFonts w:hint="eastAsia" w:ascii="仿宋" w:hAnsi="仿宋" w:eastAsia="仿宋" w:cs="仿宋"/>
          <w:i w:val="0"/>
          <w:iCs w:val="0"/>
          <w:caps w:val="0"/>
          <w:color w:val="666666"/>
          <w:spacing w:val="0"/>
          <w:sz w:val="19"/>
          <w:szCs w:val="19"/>
          <w:u w:val="none"/>
          <w:shd w:val="clear" w:fill="FFFFFF"/>
        </w:rPr>
        <w:t>坚持“先审查、后公开”“一事一审”的原则，对拟对外公开政府信息进行严格审查。规范信息发布流程，建立政府信息发布台账，确保及时有效更新发布政府信息。建立健全政府信息管理动态调整机制，对外公开的政府信息定期进行评估审查。目前，我局政府信息公开、咨询、申请以及答复工作均实现了有条不紊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516"/>
        <w:rPr>
          <w:rFonts w:hint="eastAsia" w:ascii="微软雅黑" w:hAnsi="微软雅黑" w:eastAsia="微软雅黑" w:cs="微软雅黑"/>
          <w:i w:val="0"/>
          <w:iCs w:val="0"/>
          <w:caps w:val="0"/>
          <w:color w:val="666666"/>
          <w:spacing w:val="0"/>
          <w:sz w:val="27"/>
          <w:szCs w:val="27"/>
          <w:u w:val="none"/>
        </w:rPr>
      </w:pPr>
      <w:r>
        <w:rPr>
          <w:rFonts w:hint="eastAsia" w:ascii="楷体_GB2312" w:hAnsi="微软雅黑" w:eastAsia="楷体_GB2312" w:cs="楷体_GB2312"/>
          <w:i w:val="0"/>
          <w:iCs w:val="0"/>
          <w:caps w:val="0"/>
          <w:color w:val="333333"/>
          <w:spacing w:val="0"/>
          <w:sz w:val="25"/>
          <w:szCs w:val="25"/>
          <w:u w:val="none"/>
          <w:shd w:val="clear" w:fill="FFFFFF"/>
        </w:rPr>
        <w:t>（四）政府信息公开平台建设。</w:t>
      </w:r>
      <w:r>
        <w:rPr>
          <w:rFonts w:hint="eastAsia" w:ascii="仿宋" w:hAnsi="仿宋" w:eastAsia="仿宋" w:cs="仿宋"/>
          <w:i w:val="0"/>
          <w:iCs w:val="0"/>
          <w:caps w:val="0"/>
          <w:color w:val="333333"/>
          <w:spacing w:val="0"/>
          <w:sz w:val="25"/>
          <w:szCs w:val="25"/>
          <w:u w:val="none"/>
          <w:shd w:val="clear" w:fill="FFFFFF"/>
        </w:rPr>
        <w:t>能及时对更新的政策法规、行政执法、纳税服务等内容在外网公开平台和办税大厅电子屏进行公开和滚动播放，能通过多种方式做到及时向社会公开相关信息，切实增强纳税人满意度和获得感。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384"/>
        <w:rPr>
          <w:rFonts w:hint="eastAsia" w:ascii="微软雅黑" w:hAnsi="微软雅黑" w:eastAsia="微软雅黑" w:cs="微软雅黑"/>
          <w:i w:val="0"/>
          <w:iCs w:val="0"/>
          <w:caps w:val="0"/>
          <w:color w:val="666666"/>
          <w:spacing w:val="0"/>
          <w:sz w:val="27"/>
          <w:szCs w:val="27"/>
          <w:u w:val="none"/>
        </w:rPr>
      </w:pPr>
      <w:r>
        <w:rPr>
          <w:rFonts w:ascii="Calibri" w:hAnsi="Calibri" w:eastAsia="微软雅黑" w:cs="Calibri"/>
          <w:i w:val="0"/>
          <w:iCs w:val="0"/>
          <w:caps w:val="0"/>
          <w:color w:val="333333"/>
          <w:spacing w:val="0"/>
          <w:sz w:val="25"/>
          <w:szCs w:val="25"/>
          <w:u w:val="none"/>
          <w:shd w:val="clear" w:fill="FFFFFF"/>
        </w:rPr>
        <w:t> </w:t>
      </w:r>
      <w:r>
        <w:rPr>
          <w:rFonts w:hint="eastAsia" w:ascii="楷体_GB2312" w:hAnsi="微软雅黑" w:eastAsia="楷体_GB2312" w:cs="楷体_GB2312"/>
          <w:i w:val="0"/>
          <w:iCs w:val="0"/>
          <w:caps w:val="0"/>
          <w:color w:val="333333"/>
          <w:spacing w:val="0"/>
          <w:sz w:val="25"/>
          <w:szCs w:val="25"/>
          <w:u w:val="none"/>
          <w:shd w:val="clear" w:fill="FFFFFF"/>
        </w:rPr>
        <w:t>（五）监督保障。</w:t>
      </w:r>
      <w:r>
        <w:rPr>
          <w:rFonts w:hint="eastAsia" w:ascii="仿宋" w:hAnsi="仿宋" w:eastAsia="仿宋" w:cs="仿宋"/>
          <w:i w:val="0"/>
          <w:iCs w:val="0"/>
          <w:caps w:val="0"/>
          <w:color w:val="333333"/>
          <w:spacing w:val="0"/>
          <w:sz w:val="25"/>
          <w:szCs w:val="25"/>
          <w:u w:val="none"/>
          <w:shd w:val="clear" w:fill="FFFFFF"/>
        </w:rPr>
        <w:t>南宫市税务局把政务公开工作列为重要议事日程，将其列入绩效考核范畴。始终坚持以保障纳税人和社会公众的知情权、参与权和监督权为宗旨，紧紧围绕税收中心工作，对税收工作政府公开信息进行公开公示。加大政府信息公开工作的监督检查，疏通群众投诉渠道，通过门户网站开设信息公开监督投诉受理平台，主动接受社会监督，进一步提升政府信息公开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516"/>
        <w:rPr>
          <w:rFonts w:hint="eastAsia" w:ascii="微软雅黑" w:hAnsi="微软雅黑" w:eastAsia="微软雅黑" w:cs="微软雅黑"/>
          <w:i w:val="0"/>
          <w:iCs w:val="0"/>
          <w:caps w:val="0"/>
          <w:color w:val="666666"/>
          <w:spacing w:val="0"/>
          <w:sz w:val="27"/>
          <w:szCs w:val="27"/>
          <w:u w:val="none"/>
        </w:rPr>
      </w:pPr>
      <w:r>
        <w:rPr>
          <w:rFonts w:hint="eastAsia" w:ascii="黑体" w:hAnsi="宋体" w:eastAsia="黑体" w:cs="黑体"/>
          <w:i w:val="0"/>
          <w:iCs w:val="0"/>
          <w:caps w:val="0"/>
          <w:color w:val="424242"/>
          <w:spacing w:val="0"/>
          <w:sz w:val="25"/>
          <w:szCs w:val="25"/>
          <w:u w:val="none"/>
          <w:shd w:val="clear" w:fill="FFFFFF"/>
        </w:rPr>
        <w:t>二、主动公开政府信息情况</w:t>
      </w:r>
    </w:p>
    <w:tbl>
      <w:tblPr>
        <w:tblStyle w:val="3"/>
        <w:tblW w:w="7788" w:type="dxa"/>
        <w:tblCellSpacing w:w="15" w:type="dxa"/>
        <w:tblInd w:w="0" w:type="dxa"/>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10"/>
        <w:gridCol w:w="1878"/>
        <w:gridCol w:w="1937"/>
        <w:gridCol w:w="1963"/>
      </w:tblGrid>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76" w:hRule="atLeast"/>
          <w:tblCellSpacing w:w="15" w:type="dxa"/>
        </w:trPr>
        <w:tc>
          <w:tcPr>
            <w:tcW w:w="7788" w:type="dxa"/>
            <w:gridSpan w:val="4"/>
            <w:tcBorders>
              <w:top w:val="single" w:color="auto" w:sz="4" w:space="0"/>
              <w:left w:val="single" w:color="auto" w:sz="4" w:space="0"/>
              <w:bottom w:val="single" w:color="auto" w:sz="4" w:space="0"/>
              <w:right w:val="single" w:color="auto" w:sz="4" w:space="0"/>
            </w:tcBorders>
            <w:shd w:val="clear" w:color="auto" w:fill="C6D9F1"/>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第二十条第（一）项</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信息内容</w:t>
            </w:r>
          </w:p>
        </w:tc>
        <w:tc>
          <w:tcPr>
            <w:tcW w:w="1884" w:type="dxa"/>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本年制发件数</w:t>
            </w:r>
          </w:p>
        </w:tc>
        <w:tc>
          <w:tcPr>
            <w:tcW w:w="1944" w:type="dxa"/>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本年废止件数</w:t>
            </w:r>
          </w:p>
        </w:tc>
        <w:tc>
          <w:tcPr>
            <w:tcW w:w="1956" w:type="dxa"/>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现行有效件数</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规章</w:t>
            </w:r>
          </w:p>
        </w:tc>
        <w:tc>
          <w:tcPr>
            <w:tcW w:w="1884"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1944"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195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行政规范性文件</w:t>
            </w:r>
          </w:p>
        </w:tc>
        <w:tc>
          <w:tcPr>
            <w:tcW w:w="1884"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1944"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195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76" w:hRule="atLeast"/>
          <w:tblCellSpacing w:w="15" w:type="dxa"/>
        </w:trPr>
        <w:tc>
          <w:tcPr>
            <w:tcW w:w="7788" w:type="dxa"/>
            <w:gridSpan w:val="4"/>
            <w:tcBorders>
              <w:top w:val="nil"/>
              <w:left w:val="single" w:color="auto" w:sz="4" w:space="0"/>
              <w:bottom w:val="single" w:color="auto" w:sz="4" w:space="0"/>
              <w:right w:val="single" w:color="auto" w:sz="4" w:space="0"/>
            </w:tcBorders>
            <w:shd w:val="clear" w:color="auto" w:fill="C6D9F1"/>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第二十条第（五）项</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信息内容</w:t>
            </w:r>
          </w:p>
        </w:tc>
        <w:tc>
          <w:tcPr>
            <w:tcW w:w="5784" w:type="dxa"/>
            <w:gridSpan w:val="3"/>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本年处理决定数量</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行政许可</w:t>
            </w:r>
          </w:p>
        </w:tc>
        <w:tc>
          <w:tcPr>
            <w:tcW w:w="5784" w:type="dxa"/>
            <w:gridSpan w:val="3"/>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lang w:eastAsia="zh-CN"/>
              </w:rPr>
            </w:pPr>
            <w:r>
              <w:rPr>
                <w:rFonts w:hint="eastAsia" w:ascii="微软雅黑" w:hAnsi="微软雅黑" w:eastAsia="微软雅黑" w:cs="微软雅黑"/>
                <w:i w:val="0"/>
                <w:iCs w:val="0"/>
                <w:caps w:val="0"/>
                <w:color w:val="666666"/>
                <w:spacing w:val="0"/>
                <w:sz w:val="19"/>
                <w:szCs w:val="19"/>
                <w:u w:val="none"/>
                <w:lang w:val="en-US" w:eastAsia="zh-CN"/>
              </w:rPr>
              <w:t>5</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276" w:hRule="atLeast"/>
          <w:tblCellSpacing w:w="15" w:type="dxa"/>
        </w:trPr>
        <w:tc>
          <w:tcPr>
            <w:tcW w:w="7788" w:type="dxa"/>
            <w:gridSpan w:val="4"/>
            <w:tcBorders>
              <w:top w:val="nil"/>
              <w:left w:val="single" w:color="auto" w:sz="4" w:space="0"/>
              <w:bottom w:val="single" w:color="auto" w:sz="4" w:space="0"/>
              <w:right w:val="single" w:color="auto" w:sz="4" w:space="0"/>
            </w:tcBorders>
            <w:shd w:val="clear" w:color="auto" w:fill="C6D9F1"/>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第二十条第（六）项</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信息内容</w:t>
            </w:r>
          </w:p>
        </w:tc>
        <w:tc>
          <w:tcPr>
            <w:tcW w:w="5784" w:type="dxa"/>
            <w:gridSpan w:val="3"/>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本年处理决定数量</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行政处罚</w:t>
            </w:r>
          </w:p>
        </w:tc>
        <w:tc>
          <w:tcPr>
            <w:tcW w:w="5784" w:type="dxa"/>
            <w:gridSpan w:val="3"/>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微软雅黑" w:hAnsi="微软雅黑" w:eastAsia="微软雅黑" w:cs="微软雅黑"/>
                <w:i w:val="0"/>
                <w:iCs w:val="0"/>
                <w:color w:val="666666"/>
                <w:sz w:val="19"/>
                <w:szCs w:val="19"/>
                <w:u w:val="none"/>
                <w:lang w:val="en-US" w:eastAsia="zh-CN"/>
              </w:rPr>
            </w:pPr>
            <w:r>
              <w:rPr>
                <w:rFonts w:hint="eastAsia" w:ascii="微软雅黑" w:hAnsi="微软雅黑" w:eastAsia="微软雅黑" w:cs="微软雅黑"/>
                <w:i w:val="0"/>
                <w:iCs w:val="0"/>
                <w:color w:val="666666"/>
                <w:sz w:val="19"/>
                <w:szCs w:val="19"/>
                <w:u w:val="none"/>
                <w:lang w:val="en-US" w:eastAsia="zh-CN"/>
              </w:rPr>
              <w:t>888</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行政强制</w:t>
            </w:r>
          </w:p>
        </w:tc>
        <w:tc>
          <w:tcPr>
            <w:tcW w:w="5784" w:type="dxa"/>
            <w:gridSpan w:val="3"/>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276" w:hRule="atLeast"/>
          <w:tblCellSpacing w:w="15" w:type="dxa"/>
        </w:trPr>
        <w:tc>
          <w:tcPr>
            <w:tcW w:w="7788" w:type="dxa"/>
            <w:gridSpan w:val="4"/>
            <w:tcBorders>
              <w:top w:val="nil"/>
              <w:left w:val="single" w:color="auto" w:sz="4" w:space="0"/>
              <w:bottom w:val="single" w:color="auto" w:sz="4" w:space="0"/>
              <w:right w:val="single" w:color="auto" w:sz="4" w:space="0"/>
            </w:tcBorders>
            <w:shd w:val="clear" w:color="auto" w:fill="C6D9F1"/>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第二十条第（八）项</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信息内容</w:t>
            </w:r>
          </w:p>
        </w:tc>
        <w:tc>
          <w:tcPr>
            <w:tcW w:w="5784" w:type="dxa"/>
            <w:gridSpan w:val="3"/>
            <w:tcBorders>
              <w:top w:val="single" w:color="auto" w:sz="4" w:space="0"/>
              <w:left w:val="nil"/>
              <w:bottom w:val="single" w:color="auto" w:sz="4" w:space="0"/>
              <w:right w:val="single" w:color="000000"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本年收费金额（单位：万元）</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276" w:hRule="atLeast"/>
          <w:tblCellSpacing w:w="15" w:type="dxa"/>
        </w:trPr>
        <w:tc>
          <w:tcPr>
            <w:tcW w:w="2004" w:type="dxa"/>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行政事业性收费</w:t>
            </w:r>
          </w:p>
        </w:tc>
        <w:tc>
          <w:tcPr>
            <w:tcW w:w="5784" w:type="dxa"/>
            <w:gridSpan w:val="3"/>
            <w:tcBorders>
              <w:top w:val="nil"/>
              <w:left w:val="nil"/>
              <w:bottom w:val="single" w:color="auto" w:sz="4" w:space="0"/>
              <w:right w:val="single" w:color="000000"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eastAsia" w:ascii="黑体" w:hAnsi="宋体" w:eastAsia="黑体" w:cs="黑体"/>
          <w:i w:val="0"/>
          <w:iCs w:val="0"/>
          <w:caps w:val="0"/>
          <w:color w:val="424242"/>
          <w:spacing w:val="0"/>
          <w:sz w:val="25"/>
          <w:szCs w:val="25"/>
          <w:u w:val="none"/>
          <w:shd w:val="clear" w:fill="FFFFFF"/>
        </w:rPr>
        <w:t>三、收到和处理政府信息公开申请情况</w:t>
      </w:r>
    </w:p>
    <w:tbl>
      <w:tblPr>
        <w:tblStyle w:val="3"/>
        <w:tblW w:w="7800" w:type="dxa"/>
        <w:tblCellSpacing w:w="15" w:type="dxa"/>
        <w:tblInd w:w="0" w:type="dxa"/>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9"/>
        <w:gridCol w:w="784"/>
        <w:gridCol w:w="2411"/>
        <w:gridCol w:w="563"/>
        <w:gridCol w:w="563"/>
        <w:gridCol w:w="563"/>
        <w:gridCol w:w="563"/>
        <w:gridCol w:w="563"/>
        <w:gridCol w:w="563"/>
        <w:gridCol w:w="578"/>
      </w:tblGrid>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116"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（本列数据的勾稽关系为：第一项加第二项之和，等于第三项加第四项之和）</w:t>
            </w:r>
          </w:p>
        </w:tc>
        <w:tc>
          <w:tcPr>
            <w:tcW w:w="3996" w:type="dxa"/>
            <w:gridSpan w:val="7"/>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申请人情况</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116"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576" w:type="dxa"/>
            <w:vMerge w:val="restart"/>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自然人</w:t>
            </w:r>
          </w:p>
        </w:tc>
        <w:tc>
          <w:tcPr>
            <w:tcW w:w="2856" w:type="dxa"/>
            <w:gridSpan w:val="5"/>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法人或其他组织</w:t>
            </w:r>
          </w:p>
        </w:tc>
        <w:tc>
          <w:tcPr>
            <w:tcW w:w="576" w:type="dxa"/>
            <w:vMerge w:val="restart"/>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总计</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116"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576"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企业</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机构</w:t>
            </w:r>
          </w:p>
        </w:tc>
        <w:tc>
          <w:tcPr>
            <w:tcW w:w="576" w:type="dxa"/>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社会公益组织</w:t>
            </w:r>
          </w:p>
        </w:tc>
        <w:tc>
          <w:tcPr>
            <w:tcW w:w="576" w:type="dxa"/>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法律服务机构</w:t>
            </w:r>
          </w:p>
        </w:tc>
        <w:tc>
          <w:tcPr>
            <w:tcW w:w="576" w:type="dxa"/>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其他</w:t>
            </w:r>
          </w:p>
        </w:tc>
        <w:tc>
          <w:tcPr>
            <w:tcW w:w="576" w:type="dxa"/>
            <w:vMerge w:val="continue"/>
            <w:tcBorders>
              <w:top w:val="single" w:color="auto" w:sz="4" w:space="0"/>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116" w:type="dxa"/>
            <w:gridSpan w:val="3"/>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一、本年新收政府信息公开申请数量</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116" w:type="dxa"/>
            <w:gridSpan w:val="3"/>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二、上年结转政府信息公开申请数量</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restart"/>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三、本年度办理结果</w:t>
            </w:r>
          </w:p>
        </w:tc>
        <w:tc>
          <w:tcPr>
            <w:tcW w:w="3492" w:type="dxa"/>
            <w:gridSpan w:val="2"/>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（一）予以公开</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single" w:color="auto" w:sz="4" w:space="0"/>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3492" w:type="dxa"/>
            <w:gridSpan w:val="2"/>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（二）部分公开（区分处理的，只计这一情形，不计其他情形）</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restart"/>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（三）不予公开</w:t>
            </w: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1.属于国家</w:t>
            </w:r>
            <w:r>
              <w:rPr>
                <w:rFonts w:hint="eastAsia" w:ascii="微软雅黑" w:hAnsi="微软雅黑" w:eastAsia="微软雅黑" w:cs="微软雅黑"/>
                <w:i w:val="0"/>
                <w:iCs w:val="0"/>
                <w:caps w:val="0"/>
                <w:color w:val="666666"/>
                <w:spacing w:val="0"/>
                <w:sz w:val="19"/>
                <w:szCs w:val="19"/>
                <w:u w:val="none"/>
              </w:rPr>
              <w:t>秘密</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single" w:color="auto" w:sz="4" w:space="0"/>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2.其他法律行政法规禁止公开</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3.危及“三安全一稳定”</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4.保护第三方合法权益</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5.属于三类内部事务信息</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6.属于四类过程性信息</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7.属于行政执法案卷</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8.属于行政查询事项</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restart"/>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（四）无法提供</w:t>
            </w: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1.本机关不掌握相关政府信息</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2.没有现成信息需要另行制作</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3.补正后申请内容仍不明确</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restart"/>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（五）不予处理</w:t>
            </w: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1.</w:t>
            </w:r>
            <w:r>
              <w:rPr>
                <w:rFonts w:hint="eastAsia" w:ascii="微软雅黑" w:hAnsi="微软雅黑" w:eastAsia="微软雅黑" w:cs="微软雅黑"/>
                <w:i w:val="0"/>
                <w:iCs w:val="0"/>
                <w:caps w:val="0"/>
                <w:color w:val="666666"/>
                <w:spacing w:val="0"/>
                <w:sz w:val="19"/>
                <w:szCs w:val="19"/>
                <w:u w:val="none"/>
              </w:rPr>
              <w:t>信访</w:t>
            </w:r>
            <w:r>
              <w:rPr>
                <w:rFonts w:hint="eastAsia" w:ascii="微软雅黑" w:hAnsi="微软雅黑" w:eastAsia="微软雅黑" w:cs="微软雅黑"/>
                <w:i w:val="0"/>
                <w:iCs w:val="0"/>
                <w:caps w:val="0"/>
                <w:color w:val="424242"/>
                <w:spacing w:val="0"/>
                <w:sz w:val="19"/>
                <w:szCs w:val="19"/>
                <w:u w:val="none"/>
              </w:rPr>
              <w:t>举报投诉类申请</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2.重复申请</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3.要求提供公开出版物</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4.无正当理由大量反复申请</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624" w:hRule="atLeast"/>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5.要求行政机关确认或重新出具已获取信息</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restart"/>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（六）其他处理</w:t>
            </w:r>
          </w:p>
        </w:tc>
        <w:tc>
          <w:tcPr>
            <w:tcW w:w="2724"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1.申请人无正当理由逾期不补正、行政机关不再处理其政府信息公开申请</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2.申请人逾期未按收费通知要求缴纳费用、行政机关不再处理其政府信息公开申请</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768" w:type="dxa"/>
            <w:vMerge w:val="continue"/>
            <w:tcBorders>
              <w:top w:val="nil"/>
              <w:left w:val="nil"/>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2724"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3.其他</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624" w:type="dxa"/>
            <w:vMerge w:val="continue"/>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3492" w:type="dxa"/>
            <w:gridSpan w:val="2"/>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（七）总计</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4116" w:type="dxa"/>
            <w:gridSpan w:val="3"/>
            <w:tcBorders>
              <w:top w:val="nil"/>
              <w:left w:val="single" w:color="auto" w:sz="4" w:space="0"/>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四、结转下年度继续办理</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76" w:type="dxa"/>
            <w:tcBorders>
              <w:top w:val="nil"/>
              <w:left w:val="nil"/>
              <w:bottom w:val="single" w:color="auto" w:sz="4" w:space="0"/>
              <w:right w:val="single" w:color="auto" w:sz="4" w:space="0"/>
            </w:tcBorders>
            <w:shd w:val="clear" w:color="auto" w:fill="FFFFFF"/>
            <w:tcMar>
              <w:left w:w="48" w:type="dxa"/>
              <w:right w:w="4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eastAsia" w:ascii="黑体" w:hAnsi="宋体" w:eastAsia="黑体" w:cs="黑体"/>
          <w:i w:val="0"/>
          <w:iCs w:val="0"/>
          <w:caps w:val="0"/>
          <w:color w:val="424242"/>
          <w:spacing w:val="0"/>
          <w:sz w:val="25"/>
          <w:szCs w:val="25"/>
          <w:u w:val="none"/>
          <w:shd w:val="clear" w:fill="FFFFFF"/>
        </w:rPr>
        <w:t>四、政府信息公开行政复议、行政诉讼情况</w:t>
      </w:r>
    </w:p>
    <w:tbl>
      <w:tblPr>
        <w:tblStyle w:val="3"/>
        <w:tblW w:w="7800" w:type="dxa"/>
        <w:tblCellSpacing w:w="15" w:type="dxa"/>
        <w:tblInd w:w="0" w:type="dxa"/>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4"/>
        <w:gridCol w:w="517"/>
        <w:gridCol w:w="518"/>
        <w:gridCol w:w="518"/>
        <w:gridCol w:w="518"/>
        <w:gridCol w:w="518"/>
        <w:gridCol w:w="518"/>
        <w:gridCol w:w="518"/>
        <w:gridCol w:w="518"/>
        <w:gridCol w:w="518"/>
        <w:gridCol w:w="518"/>
        <w:gridCol w:w="518"/>
        <w:gridCol w:w="518"/>
        <w:gridCol w:w="518"/>
        <w:gridCol w:w="533"/>
      </w:tblGrid>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2568" w:type="dxa"/>
            <w:gridSpan w:val="5"/>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行政复议</w:t>
            </w:r>
          </w:p>
        </w:tc>
        <w:tc>
          <w:tcPr>
            <w:tcW w:w="5148" w:type="dxa"/>
            <w:gridSpan w:val="10"/>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行政诉讼</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516" w:type="dxa"/>
            <w:vMerge w:val="restart"/>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结果维持</w:t>
            </w:r>
          </w:p>
        </w:tc>
        <w:tc>
          <w:tcPr>
            <w:tcW w:w="516"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结果</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纠正</w:t>
            </w:r>
          </w:p>
        </w:tc>
        <w:tc>
          <w:tcPr>
            <w:tcW w:w="516"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其他</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结果</w:t>
            </w:r>
          </w:p>
        </w:tc>
        <w:tc>
          <w:tcPr>
            <w:tcW w:w="516"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尚未</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审结</w:t>
            </w:r>
          </w:p>
        </w:tc>
        <w:tc>
          <w:tcPr>
            <w:tcW w:w="516" w:type="dxa"/>
            <w:vMerge w:val="restart"/>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总计</w:t>
            </w:r>
          </w:p>
        </w:tc>
        <w:tc>
          <w:tcPr>
            <w:tcW w:w="2568" w:type="dxa"/>
            <w:gridSpan w:val="5"/>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未经复议直接起诉</w:t>
            </w:r>
          </w:p>
        </w:tc>
        <w:tc>
          <w:tcPr>
            <w:tcW w:w="2568" w:type="dxa"/>
            <w:gridSpan w:val="5"/>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复议后起诉</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516" w:type="dxa"/>
            <w:vMerge w:val="continue"/>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516"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516"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516"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516" w:type="dxa"/>
            <w:vMerge w:val="continue"/>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rPr>
                <w:rFonts w:hint="eastAsia" w:ascii="微软雅黑" w:hAnsi="微软雅黑" w:eastAsia="微软雅黑" w:cs="微软雅黑"/>
                <w:i w:val="0"/>
                <w:iCs w:val="0"/>
                <w:caps w:val="0"/>
                <w:color w:val="666666"/>
                <w:spacing w:val="0"/>
                <w:sz w:val="19"/>
                <w:szCs w:val="19"/>
                <w:u w:val="none"/>
              </w:rPr>
            </w:pP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结果</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维持</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结果</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纠正</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其他</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结果</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尚未</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审结</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总计</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结果</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维持</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结果</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纠正</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其他</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结果</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尚未</w:t>
            </w:r>
            <w:r>
              <w:rPr>
                <w:rFonts w:hint="eastAsia" w:ascii="微软雅黑" w:hAnsi="微软雅黑" w:eastAsia="微软雅黑" w:cs="微软雅黑"/>
                <w:i w:val="0"/>
                <w:iCs w:val="0"/>
                <w:caps w:val="0"/>
                <w:color w:val="666666"/>
                <w:spacing w:val="0"/>
                <w:sz w:val="19"/>
                <w:szCs w:val="19"/>
                <w:u w:val="none"/>
              </w:rPr>
              <w:br w:type="textWrapping"/>
            </w:r>
            <w:r>
              <w:rPr>
                <w:rFonts w:hint="eastAsia" w:ascii="微软雅黑" w:hAnsi="微软雅黑" w:eastAsia="微软雅黑" w:cs="微软雅黑"/>
                <w:i w:val="0"/>
                <w:iCs w:val="0"/>
                <w:caps w:val="0"/>
                <w:color w:val="424242"/>
                <w:spacing w:val="0"/>
                <w:sz w:val="19"/>
                <w:szCs w:val="19"/>
                <w:u w:val="none"/>
              </w:rPr>
              <w:t>审结</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424242"/>
                <w:spacing w:val="0"/>
                <w:sz w:val="19"/>
                <w:szCs w:val="19"/>
                <w:u w:val="none"/>
              </w:rPr>
              <w:t>总计</w:t>
            </w:r>
          </w:p>
        </w:tc>
      </w:tr>
      <w:tr>
        <w:tblPrEx>
          <w:tblBorders>
            <w:top w:val="single" w:color="666666" w:sz="4" w:space="0"/>
            <w:left w:val="single" w:color="666666" w:sz="4" w:space="0"/>
            <w:bottom w:val="single" w:color="666666" w:sz="4" w:space="0"/>
            <w:right w:val="single" w:color="666666" w:sz="4"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51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c>
          <w:tcPr>
            <w:tcW w:w="51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i w:val="0"/>
                <w:iCs w:val="0"/>
                <w:color w:val="666666"/>
                <w:sz w:val="19"/>
                <w:szCs w:val="19"/>
                <w:u w:val="none"/>
              </w:rPr>
            </w:pPr>
            <w:r>
              <w:rPr>
                <w:rFonts w:hint="eastAsia" w:ascii="微软雅黑" w:hAnsi="微软雅黑" w:eastAsia="微软雅黑" w:cs="微软雅黑"/>
                <w:i w:val="0"/>
                <w:iCs w:val="0"/>
                <w:caps w:val="0"/>
                <w:color w:val="666666"/>
                <w:spacing w:val="0"/>
                <w:sz w:val="19"/>
                <w:szCs w:val="19"/>
                <w:u w:val="none"/>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666666"/>
          <w:spacing w:val="0"/>
          <w:sz w:val="27"/>
          <w:szCs w:val="27"/>
          <w:u w:val="none"/>
        </w:rPr>
      </w:pPr>
      <w:r>
        <w:rPr>
          <w:rFonts w:hint="eastAsia" w:ascii="黑体" w:hAnsi="宋体" w:eastAsia="黑体" w:cs="黑体"/>
          <w:i w:val="0"/>
          <w:iCs w:val="0"/>
          <w:caps w:val="0"/>
          <w:color w:val="424242"/>
          <w:spacing w:val="0"/>
          <w:sz w:val="25"/>
          <w:szCs w:val="25"/>
          <w:u w:val="none"/>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384"/>
        <w:rPr>
          <w:rFonts w:hint="eastAsia" w:ascii="微软雅黑" w:hAnsi="微软雅黑" w:eastAsia="微软雅黑" w:cs="微软雅黑"/>
          <w:i w:val="0"/>
          <w:iCs w:val="0"/>
          <w:caps w:val="0"/>
          <w:color w:val="666666"/>
          <w:spacing w:val="0"/>
          <w:sz w:val="27"/>
          <w:szCs w:val="27"/>
          <w:u w:val="none"/>
        </w:rPr>
      </w:pPr>
      <w:r>
        <w:rPr>
          <w:rFonts w:hint="eastAsia" w:ascii="仿宋" w:hAnsi="仿宋" w:eastAsia="仿宋" w:cs="仿宋"/>
          <w:i w:val="0"/>
          <w:iCs w:val="0"/>
          <w:caps w:val="0"/>
          <w:color w:val="333333"/>
          <w:spacing w:val="0"/>
          <w:sz w:val="25"/>
          <w:szCs w:val="25"/>
          <w:u w:val="none"/>
          <w:shd w:val="clear" w:fill="FFFFFF"/>
        </w:rPr>
        <w:t>202</w:t>
      </w:r>
      <w:r>
        <w:rPr>
          <w:rFonts w:hint="eastAsia" w:ascii="仿宋" w:hAnsi="仿宋" w:eastAsia="仿宋" w:cs="仿宋"/>
          <w:i w:val="0"/>
          <w:iCs w:val="0"/>
          <w:caps w:val="0"/>
          <w:color w:val="333333"/>
          <w:spacing w:val="0"/>
          <w:sz w:val="25"/>
          <w:szCs w:val="25"/>
          <w:u w:val="none"/>
          <w:shd w:val="clear" w:fill="FFFFFF"/>
          <w:lang w:val="en-US" w:eastAsia="zh-CN"/>
        </w:rPr>
        <w:t>4</w:t>
      </w:r>
      <w:r>
        <w:rPr>
          <w:rFonts w:hint="eastAsia" w:ascii="仿宋" w:hAnsi="仿宋" w:eastAsia="仿宋" w:cs="仿宋"/>
          <w:i w:val="0"/>
          <w:iCs w:val="0"/>
          <w:caps w:val="0"/>
          <w:color w:val="333333"/>
          <w:spacing w:val="0"/>
          <w:sz w:val="25"/>
          <w:szCs w:val="25"/>
          <w:u w:val="none"/>
          <w:shd w:val="clear" w:fill="FFFFFF"/>
        </w:rPr>
        <w:t>年，在南宫市委、市政府和邢台市税务局的指导帮助下，南宫市税务局政府信息公开工作取得新的成效，特别是在增强公众参与互动及确保政务公开的实效性方面上，取得了突破性的进展。但我们也清醒地认识到，在推进政府信息公开工作中还存在一些问题，一是个别干部对政府信息公开的重视程度不够高，把心思和精力全部用到钻研税务业务上，没有能够很好协调行政、业务统筹推进，我局将加强专项培训,提高干部信息公开能力和水平；二是政府信息公开深度广度还有进一步提升空间，我局将进一步完善信息公开工作制度，明确信息公开的范围、方式和程序，规范信息公开的流程和标准，提高信息公开质量；三是信息公开渠道有待进一步丰富，我局将加强政府信息公开平台建设，创新信息公开载体，丰富信息公开渠道，准确发布政务信息，及时回应公众关切，不断提升政务公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192"/>
        <w:rPr>
          <w:rFonts w:hint="eastAsia" w:ascii="微软雅黑" w:hAnsi="微软雅黑" w:eastAsia="微软雅黑" w:cs="微软雅黑"/>
          <w:i w:val="0"/>
          <w:iCs w:val="0"/>
          <w:caps w:val="0"/>
          <w:color w:val="666666"/>
          <w:spacing w:val="0"/>
          <w:sz w:val="27"/>
          <w:szCs w:val="27"/>
          <w:u w:val="none"/>
        </w:rPr>
      </w:pPr>
      <w:r>
        <w:rPr>
          <w:rFonts w:hint="eastAsia" w:ascii="黑体" w:hAnsi="宋体" w:eastAsia="黑体" w:cs="黑体"/>
          <w:i w:val="0"/>
          <w:iCs w:val="0"/>
          <w:caps w:val="0"/>
          <w:color w:val="424242"/>
          <w:spacing w:val="0"/>
          <w:sz w:val="25"/>
          <w:szCs w:val="25"/>
          <w:u w:val="none"/>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2" w:lineRule="atLeast"/>
        <w:ind w:left="0" w:right="0" w:firstLine="192"/>
        <w:rPr>
          <w:rFonts w:hint="eastAsia" w:ascii="微软雅黑" w:hAnsi="微软雅黑" w:eastAsia="微软雅黑" w:cs="微软雅黑"/>
          <w:i w:val="0"/>
          <w:iCs w:val="0"/>
          <w:caps w:val="0"/>
          <w:color w:val="666666"/>
          <w:spacing w:val="0"/>
          <w:sz w:val="27"/>
          <w:szCs w:val="27"/>
          <w:u w:val="none"/>
        </w:rPr>
      </w:pPr>
      <w:r>
        <w:rPr>
          <w:rFonts w:hint="default" w:ascii="Calibri" w:hAnsi="Calibri" w:eastAsia="微软雅黑" w:cs="Calibri"/>
          <w:i w:val="0"/>
          <w:iCs w:val="0"/>
          <w:caps w:val="0"/>
          <w:color w:val="333333"/>
          <w:spacing w:val="0"/>
          <w:sz w:val="25"/>
          <w:szCs w:val="25"/>
          <w:u w:val="none"/>
          <w:shd w:val="clear" w:fill="FFFFFF"/>
        </w:rPr>
        <w:t>    </w:t>
      </w:r>
      <w:r>
        <w:rPr>
          <w:rFonts w:hint="eastAsia" w:ascii="仿宋" w:hAnsi="仿宋" w:eastAsia="仿宋" w:cs="仿宋"/>
          <w:i w:val="0"/>
          <w:iCs w:val="0"/>
          <w:caps w:val="0"/>
          <w:color w:val="333333"/>
          <w:spacing w:val="0"/>
          <w:sz w:val="25"/>
          <w:szCs w:val="25"/>
          <w:u w:val="none"/>
          <w:shd w:val="clear" w:fill="FFFFFF"/>
        </w:rPr>
        <w:t>202</w:t>
      </w:r>
      <w:r>
        <w:rPr>
          <w:rFonts w:hint="eastAsia" w:ascii="仿宋" w:hAnsi="仿宋" w:eastAsia="仿宋" w:cs="仿宋"/>
          <w:i w:val="0"/>
          <w:iCs w:val="0"/>
          <w:caps w:val="0"/>
          <w:color w:val="333333"/>
          <w:spacing w:val="0"/>
          <w:sz w:val="25"/>
          <w:szCs w:val="25"/>
          <w:u w:val="none"/>
          <w:shd w:val="clear" w:fill="FFFFFF"/>
          <w:lang w:val="en-US" w:eastAsia="zh-CN"/>
        </w:rPr>
        <w:t>4</w:t>
      </w:r>
      <w:r>
        <w:rPr>
          <w:rFonts w:hint="eastAsia" w:ascii="仿宋" w:hAnsi="仿宋" w:eastAsia="仿宋" w:cs="仿宋"/>
          <w:i w:val="0"/>
          <w:iCs w:val="0"/>
          <w:caps w:val="0"/>
          <w:color w:val="333333"/>
          <w:spacing w:val="0"/>
          <w:sz w:val="25"/>
          <w:szCs w:val="25"/>
          <w:u w:val="none"/>
          <w:shd w:val="clear" w:fill="FFFFFF"/>
        </w:rPr>
        <w:t>年本机关未收取信息处理费。</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8446F"/>
    <w:rsid w:val="3AA8124F"/>
    <w:rsid w:val="4406358C"/>
    <w:rsid w:val="60FC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2190</Words>
  <Characters>2225</Characters>
  <Lines>0</Lines>
  <Paragraphs>0</Paragraphs>
  <TotalTime>81</TotalTime>
  <ScaleCrop>false</ScaleCrop>
  <LinksUpToDate>false</LinksUpToDate>
  <CharactersWithSpaces>2233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2025-02-20T07:44:00Z</dcterms:created>
  <dc:creator>Administrator</dc:creator>
  <cp:lastModifiedBy>Administrator</cp:lastModifiedBy>
  <dcterms:modified xsi:type="dcterms:W3CDTF">2025-02-20T09:13:50Z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47BEE90E225149B3A020314B8FA6323F</vt:lpwstr>
  </property>
</Properties>
</file>