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C1D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南宫市科技和工业信息化局</w:t>
      </w:r>
    </w:p>
    <w:p w14:paraId="11DBD9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年政府信息公开工作年度报告</w:t>
      </w:r>
    </w:p>
    <w:p w14:paraId="78566098"/>
    <w:p w14:paraId="405D36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666666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根据《中华人民共和国政府信息公开条例》《河北省实施〈中华人民共和国政府信息公开条例〉办法》等规定，发布本年度报告。报告中所列数据统计期限为 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 xml:space="preserve"> 年 1 月 1 日至 12 月 31 日。</w:t>
      </w:r>
    </w:p>
    <w:p w14:paraId="5A6B9F8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总体情况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年，南宫市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科技和工业信息化局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坚持以习近平新时代中国特色社会主义思想为指导，认真贯彻落实党中央、国务院关于政务公开工作决策部署和省、邢台市工作安排，围绕中心、服务大局，着力推进政府信息公开、政策宣传解读等各项重点任务，不断提高政务公开工作质效，为建设现代化经济强市、美丽南宫做出应有贡献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（一）主动公开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情况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通过政府信息公开平台、“南宫市科技和工业信息化局”微信公众号发布信息共计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39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条。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（二）依申请公开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情况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。严格落实《政府信息公开条例》《河北省政府信息公开申请办理规范》要求，健全完善政府信息公开申请登记、审核、办理、答复、归档等各环节工作，未发生因政府信息公开工作被申请行政复议、提起行政诉讼或被群众投诉举报的情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（三）政府信息管理。认真贯彻落实《关于进一步规范市政府文件信息公开审查工作的通知》要求，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进一步规范信息公开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流程。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（四）政府信息公开平台建设。为更好发挥政府信息公开平台信息发布、公共服务、互动交流作用，不断优化栏目设置和功能设计，健全完善运行管理机制，保障平台安全、平稳、高效运行。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（五）监督保障。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将市年度政务公开工作要点细化分解，明确责任分工，加强督导落实。开展局机关政府信息公开业务专题培训，组织全局进行政府信息公开法律知识学习问答，着力提升政务公开业务能力和水平。</w:t>
      </w:r>
    </w:p>
    <w:p w14:paraId="7D18C2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55" w:lineRule="atLeast"/>
        <w:ind w:left="0" w:right="0" w:firstLine="645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二、主动公开政府信息情况</w:t>
      </w:r>
    </w:p>
    <w:tbl>
      <w:tblPr>
        <w:tblStyle w:val="4"/>
        <w:tblW w:w="8205" w:type="dxa"/>
        <w:tblCellSpacing w:w="1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3"/>
        <w:gridCol w:w="1713"/>
        <w:gridCol w:w="1464"/>
        <w:gridCol w:w="1905"/>
      </w:tblGrid>
      <w:tr w14:paraId="3BE9580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14:paraId="41E5FE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第二十条第（一）项</w:t>
            </w:r>
          </w:p>
        </w:tc>
      </w:tr>
      <w:tr w14:paraId="40868E3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15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69EC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958C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本年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制发件数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5005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本年废止件数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AD99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现行有效件数</w:t>
            </w:r>
          </w:p>
        </w:tc>
      </w:tr>
      <w:tr w14:paraId="42E01EF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15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7EA3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规章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F4AA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D2A4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2DF3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0FFC3D4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B7F6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行政规范性文件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A1F3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4EDF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A3C2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368F900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82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14:paraId="023B7D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第二十条第（五）项</w:t>
            </w:r>
          </w:p>
        </w:tc>
      </w:tr>
      <w:tr w14:paraId="4644D44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365B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51D2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本年处理决定数量</w:t>
            </w:r>
          </w:p>
        </w:tc>
      </w:tr>
      <w:tr w14:paraId="7C48F72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15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531B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行政许可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92D3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23820F0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82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14:paraId="1E1401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第二十条第（六）项</w:t>
            </w:r>
          </w:p>
        </w:tc>
      </w:tr>
      <w:tr w14:paraId="527851E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15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A447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CAD7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本年处理决定数量</w:t>
            </w:r>
          </w:p>
        </w:tc>
      </w:tr>
      <w:tr w14:paraId="177B583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2B09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行政处罚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9DB0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1DAE8E4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FF01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行政强制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84CF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4AC2264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82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14:paraId="144A9C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第二十条第（八）项</w:t>
            </w:r>
          </w:p>
        </w:tc>
      </w:tr>
      <w:tr w14:paraId="70D3D30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AB3A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3B2A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本年收费金额（单位：万元）</w:t>
            </w:r>
          </w:p>
        </w:tc>
      </w:tr>
      <w:tr w14:paraId="47345A82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15" w:type="dxa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78BF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行政事业性收费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592C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</w:tbl>
    <w:p w14:paraId="6AF0CA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olor w:val="666666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三、收到和处理政府信息公开申请情况</w:t>
      </w:r>
    </w:p>
    <w:tbl>
      <w:tblPr>
        <w:tblStyle w:val="4"/>
        <w:tblW w:w="9135" w:type="dxa"/>
        <w:tblCellSpacing w:w="1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75"/>
        <w:gridCol w:w="2203"/>
        <w:gridCol w:w="843"/>
        <w:gridCol w:w="649"/>
        <w:gridCol w:w="637"/>
        <w:gridCol w:w="855"/>
        <w:gridCol w:w="855"/>
        <w:gridCol w:w="675"/>
        <w:gridCol w:w="678"/>
      </w:tblGrid>
      <w:tr w14:paraId="57DC355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15" w:type="dxa"/>
        </w:trPr>
        <w:tc>
          <w:tcPr>
            <w:tcW w:w="390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4B94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7378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申请人情况</w:t>
            </w:r>
          </w:p>
        </w:tc>
      </w:tr>
      <w:tr w14:paraId="7C55613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39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B18834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5802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自然人</w:t>
            </w:r>
          </w:p>
        </w:tc>
        <w:tc>
          <w:tcPr>
            <w:tcW w:w="37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A05F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法人或其他组织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9B0F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总计</w:t>
            </w:r>
          </w:p>
        </w:tc>
      </w:tr>
      <w:tr w14:paraId="2331A93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15" w:type="dxa"/>
        </w:trPr>
        <w:tc>
          <w:tcPr>
            <w:tcW w:w="39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61D502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A929B7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3C13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商业企业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F39D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科研机构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757F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社会公益组织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6FF1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法律服务机构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20F6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其他</w:t>
            </w: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CC928D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</w:tr>
      <w:tr w14:paraId="2500C7D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39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1704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一、本年新收政府信息公开申请数量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421F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040B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9CD8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D7EB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E8D2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4DF2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ACBD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284A41B8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39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EA77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二、上年结转政府信息公开申请数量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2B60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09AF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BFF1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4CA9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E796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1CA9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94AB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18497A6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6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29DC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三、本年度办理结果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3B2A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（一）予以公开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7C61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7A1C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B48D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3DF1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8F81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8AAA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3750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2CBD1E5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8B4C04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D45B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（二）部分公开（区分处理的，只计这一情形，不计其他情形）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7DDF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EE36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B12A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7389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A91C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417E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AAAA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7D90804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C2A14E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06B8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（三）不予公开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70C0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1.属于国家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  <w:t>秘密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DD87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89AF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5EAD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9D57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DFDD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A3A8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A2DE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041303D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46A258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F71D74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7D0C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2.其他法律行政法规禁止公开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0A26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CF99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C29E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4411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7E57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BC4C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F126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5BB464B2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033144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232C58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3B6C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3.危及“三安全一稳定”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9D9F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7ABA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0A77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9E39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129A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27A7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DC39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22934C5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359991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C6AEB5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F664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4.保护第三方合法权益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D2FE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8EB5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C531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DCF2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DC1A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94FD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B426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2FB8681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85FA5D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13F72F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A52F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5.属于三类内部事务信息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7215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60CD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B709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BE0B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5823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04BB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847B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2ECD5DC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BD5815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9EC223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5692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6.属于四类过程性信息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E357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258A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06DF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4815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A0D6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EBD5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CB7A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026C59B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887760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434FF0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36C4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7.属于行政执法案卷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F059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609D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CFE5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4DF5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6B48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C69B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DF5C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7C4B34C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B25FE5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C5891C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1ADE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8.属于行政查询事项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BD7B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1890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3B43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8394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A352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B8F7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8BFE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2F6ECC6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7CD76F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38D4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（四）无法提供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CA18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1.本机关不掌握相关政府信息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555E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991D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682F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0258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3DBD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C7AA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325F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1269EF9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FA369F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CAEFFD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6EA6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2.没有现成信息需要另行制作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969B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420B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BE0C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D5C9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9773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2D0B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6BC6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66C49DB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511ED8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BE47C7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6CB5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3.补正后申请内容仍不明确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D47E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986D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B3D1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A7E5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F01C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F87E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B6A0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532EEAC0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9D7B43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AD83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 </w:t>
            </w:r>
          </w:p>
          <w:p w14:paraId="1D1A27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（五）不予处理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0928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1.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666666"/>
                <w:sz w:val="24"/>
                <w:szCs w:val="24"/>
                <w:u w:val="none"/>
              </w:rPr>
              <w:t>信访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举报投诉类申请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9B2F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AE7D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3928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6998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CBD6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4259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D6AD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45D3E9A0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29AF47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973165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FF18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2.重复申请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4D00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FFA9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4E20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B8CE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2716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5268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8B1D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51570AE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20BDD5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FB2FFA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E6FC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3.要求提供公开出版物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047A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4B3C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EF8D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929D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B36B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1DC1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5DCD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30F05B0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CA9645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8A5D29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B6B8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4.无正当理由大量反复申请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F14E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602E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D1C8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3F1F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B365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40B1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08E5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1C0C691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F43B70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2BADC8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7F0D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5.要求行政机关确认或重新出具已获取信息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4F5D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3F05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B16C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5A95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D44B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E2DD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7A43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0E3BAE7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487C3E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4159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（六）其他处理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DF0D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1.申请人无正当理由逾期不补正、行政机关不再处理其政府信息公开申请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9E81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2157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A6AD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B4A4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9070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F40A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261B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23021D4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22A385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745472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417C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2B39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7C72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A46A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3F70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E568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6570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95C9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66D44CB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1DF034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F3A1EA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2D02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3.其他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7E08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F43D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109F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F980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18A8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CE37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8EFE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167766E0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15" w:type="dxa"/>
        </w:trPr>
        <w:tc>
          <w:tcPr>
            <w:tcW w:w="6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03B421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45E5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（七）总计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1A11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093C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059A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DEBF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6DE6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4C6C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97B0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  <w:tr w14:paraId="05636B8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15" w:type="dxa"/>
        </w:trPr>
        <w:tc>
          <w:tcPr>
            <w:tcW w:w="39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ED67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四、结转下年度继续办理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FFDA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DFE9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8ED7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1572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EE88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B038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995C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</w:tbl>
    <w:p w14:paraId="5DB6C5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555" w:lineRule="atLeast"/>
        <w:ind w:right="0" w:firstLine="480" w:firstLineChars="200"/>
        <w:rPr>
          <w:rFonts w:hint="eastAsia" w:ascii="仿宋" w:hAnsi="仿宋" w:eastAsia="仿宋" w:cs="仿宋"/>
          <w:i w:val="0"/>
          <w:iCs w:val="0"/>
          <w:color w:val="666666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四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、政府信息公开行政复议、行政诉讼情况</w:t>
      </w:r>
    </w:p>
    <w:tbl>
      <w:tblPr>
        <w:tblStyle w:val="4"/>
        <w:tblW w:w="9165" w:type="dxa"/>
        <w:tblCellSpacing w:w="1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565"/>
        <w:gridCol w:w="589"/>
        <w:gridCol w:w="612"/>
        <w:gridCol w:w="705"/>
        <w:gridCol w:w="565"/>
        <w:gridCol w:w="612"/>
        <w:gridCol w:w="612"/>
        <w:gridCol w:w="612"/>
        <w:gridCol w:w="624"/>
        <w:gridCol w:w="612"/>
        <w:gridCol w:w="612"/>
        <w:gridCol w:w="612"/>
        <w:gridCol w:w="530"/>
        <w:gridCol w:w="720"/>
      </w:tblGrid>
      <w:tr w14:paraId="50B3B8C8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30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FD62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行政复议</w:t>
            </w:r>
          </w:p>
        </w:tc>
        <w:tc>
          <w:tcPr>
            <w:tcW w:w="612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E024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行政诉讼</w:t>
            </w:r>
          </w:p>
        </w:tc>
      </w:tr>
      <w:tr w14:paraId="681DCEA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5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AE88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结果维持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364D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结果纠正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ACEF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3F59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尚未审结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AE3E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总计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2117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未经复议直接起诉</w:t>
            </w:r>
          </w:p>
        </w:tc>
        <w:tc>
          <w:tcPr>
            <w:tcW w:w="30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D423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复议后起诉</w:t>
            </w:r>
          </w:p>
        </w:tc>
      </w:tr>
      <w:tr w14:paraId="42670D3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15" w:type="dxa"/>
        </w:trPr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E90F9D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BAFD35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BE7A2A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29458F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97D0B7">
            <w:pP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44E1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结果维持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B4AD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结果纠正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3D1E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其他结果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D4FD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尚未审结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5F29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总计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6CED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结果维持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3758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结果纠正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B4AB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其他结果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183C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尚未审结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1DB6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总计</w:t>
            </w:r>
          </w:p>
        </w:tc>
      </w:tr>
      <w:tr w14:paraId="2464950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15" w:type="dxa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336E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B4D2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37DC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DAE6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5AF3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254B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2A58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1E2A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43DE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2893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9200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ED77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9D89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8A35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547D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  <w:t>0</w:t>
            </w:r>
          </w:p>
        </w:tc>
      </w:tr>
    </w:tbl>
    <w:p w14:paraId="2E1382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666666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五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、存在的主要问题及改进情况</w:t>
      </w:r>
    </w:p>
    <w:p w14:paraId="2F0A3D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666666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年我局的信息公开工作虽然取得了一定的成绩，但也存在一些问题和不足，比如信息公开的内容还不够全面，信息公开渠道、方式和范围还需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lang w:val="en-US" w:eastAsia="zh-CN"/>
        </w:rPr>
        <w:t>进一步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拓宽。今后，我们将进一步增强做好信息公开工作的责任感，不断提高信息公开质量和效率。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lang w:val="en-US" w:eastAsia="zh-CN"/>
        </w:rPr>
        <w:t>2025年，我局将认真落实《条例》和政务公开相关要求，进一步做好政府信息公开工作。</w:t>
      </w:r>
    </w:p>
    <w:p w14:paraId="1C664BD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666666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六、其他需要报告的事项</w:t>
      </w:r>
      <w:bookmarkStart w:id="0" w:name="_GoBack"/>
      <w:bookmarkEnd w:id="0"/>
    </w:p>
    <w:p w14:paraId="418F60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666666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24"/>
          <w:szCs w:val="24"/>
          <w:u w:val="none"/>
          <w:shd w:val="clear" w:fill="FFFFFF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24"/>
          <w:szCs w:val="24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24"/>
          <w:szCs w:val="24"/>
          <w:u w:val="none"/>
          <w:shd w:val="clear" w:fill="FFFFFF"/>
        </w:rPr>
        <w:t>年我局未收取信息处理费。</w:t>
      </w:r>
    </w:p>
    <w:p w14:paraId="66762E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YzliODA4YTVkMDM1M2Q5MDNjYzZkYzEzMGVhZjUifQ=="/>
  </w:docVars>
  <w:rsids>
    <w:rsidRoot w:val="191E7A24"/>
    <w:rsid w:val="04635904"/>
    <w:rsid w:val="07540194"/>
    <w:rsid w:val="0F3A1458"/>
    <w:rsid w:val="10B43F72"/>
    <w:rsid w:val="191E7A24"/>
    <w:rsid w:val="19800A63"/>
    <w:rsid w:val="260F130D"/>
    <w:rsid w:val="2DD35D80"/>
    <w:rsid w:val="32D53419"/>
    <w:rsid w:val="3D5A0F8B"/>
    <w:rsid w:val="41BE26AC"/>
    <w:rsid w:val="44076089"/>
    <w:rsid w:val="4DF94646"/>
    <w:rsid w:val="517F5754"/>
    <w:rsid w:val="51CB2747"/>
    <w:rsid w:val="542C16F8"/>
    <w:rsid w:val="5C4E5312"/>
    <w:rsid w:val="65E816C2"/>
    <w:rsid w:val="68D349BC"/>
    <w:rsid w:val="68D84F79"/>
    <w:rsid w:val="6CCC3C0D"/>
    <w:rsid w:val="73506AF8"/>
    <w:rsid w:val="73A65512"/>
    <w:rsid w:val="799F7E92"/>
    <w:rsid w:val="7E5D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1715</Words>
  <Characters>1752</Characters>
  <Lines>0</Lines>
  <Paragraphs>0</Paragraphs>
  <TotalTime>0</TotalTime>
  <ScaleCrop>false</ScaleCrop>
  <LinksUpToDate>false</LinksUpToDate>
  <CharactersWithSpaces>1787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2023-01-28T01:31:00Z</dcterms:created>
  <dc:creator>Administrator</dc:creator>
  <cp:lastModifiedBy>都小慧</cp:lastModifiedBy>
  <dcterms:modified xsi:type="dcterms:W3CDTF">2025-02-21T01:18:36Z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48BBA20DB1854AB6A2D5E6F916BAE026_13</vt:lpwstr>
  </property>
</Properties>
</file>