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1CCD6">
      <w:pPr>
        <w:jc w:val="center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40"/>
          <w:szCs w:val="4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40"/>
          <w:szCs w:val="40"/>
          <w:shd w:val="clear" w:fill="FDFDFE"/>
          <w:lang w:eastAsia="zh-CN"/>
        </w:rPr>
        <w:t>南宫市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40"/>
          <w:szCs w:val="40"/>
          <w:shd w:val="clear" w:fill="FDFDFE"/>
        </w:rPr>
        <w:t>水务局涉企检查计划</w:t>
      </w:r>
    </w:p>
    <w:p w14:paraId="5B003A3F">
      <w:pPr>
        <w:jc w:val="center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40"/>
          <w:szCs w:val="40"/>
          <w:shd w:val="clear" w:fill="FDFDFE"/>
        </w:rPr>
      </w:pPr>
    </w:p>
    <w:p w14:paraId="47D2781E"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为深入贯彻落实党中央、国务院关于优化营商环境的决策部署，进一步规范涉企行政检查行为，提高监管效能，根据相关法律法规及上级部门要求，结合我局实际，制定本计划。 </w:t>
      </w:r>
    </w:p>
    <w:p w14:paraId="47A81E94">
      <w:pPr>
        <w:numPr>
          <w:ilvl w:val="0"/>
          <w:numId w:val="1"/>
        </w:num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工作目标 </w:t>
      </w:r>
    </w:p>
    <w:p w14:paraId="15018B97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通过科学合理安排涉企行政检查，切实减少对企业正常生产经营活动的干扰，同时确保依法履行监管职责，及时发现和纠正企业在涉水事务中的违法违规行为，营造公平竞争、规范有序的水环境，助力企业高质量发展。 </w:t>
      </w:r>
    </w:p>
    <w:p w14:paraId="50664C52">
      <w:pPr>
        <w:numPr>
          <w:ilvl w:val="0"/>
          <w:numId w:val="1"/>
        </w:numPr>
        <w:ind w:left="0" w:leftChars="0"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检查依据 </w:t>
      </w:r>
    </w:p>
    <w:p w14:paraId="6137BF96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《中华人民共和国水法》：规定了水行政主管部门对水资源的统一管理和监督职责，以及对各类水事活动的监管权力。 </w:t>
      </w:r>
    </w:p>
    <w:p w14:paraId="056CCB53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《中华人民共和国水土保持法》：明确了对生产建设项目水土保持方案实施情况进行跟踪检查的要求。 </w:t>
      </w:r>
    </w:p>
    <w:p w14:paraId="135CCD62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《取水许可和水资源费征收管理条例》：为取水许可监管和水资源费征收使用监督提供法律依据。 </w:t>
      </w:r>
    </w:p>
    <w:p w14:paraId="42BC404F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其他相关地方性法规、规章和规范性文件。 </w:t>
      </w:r>
    </w:p>
    <w:p w14:paraId="6E746E2A">
      <w:pPr>
        <w:numPr>
          <w:ilvl w:val="0"/>
          <w:numId w:val="1"/>
        </w:numPr>
        <w:ind w:left="0" w:leftChars="0"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检查对象及事项 </w:t>
      </w:r>
    </w:p>
    <w:p w14:paraId="76402FD0">
      <w:pPr>
        <w:numPr>
          <w:ilvl w:val="0"/>
          <w:numId w:val="2"/>
        </w:num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水资源管理  检查对象：已办理取水许可的企业。  检查事项：计量设施运行情况，水资源税是否按规定缴纳，是否存在超许可取水等违法违规行为。 </w:t>
      </w:r>
    </w:p>
    <w:p w14:paraId="56D705BC">
      <w:pPr>
        <w:numPr>
          <w:ilvl w:val="0"/>
          <w:numId w:val="2"/>
        </w:num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>水土保持  检查对象：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eastAsia="zh-CN"/>
        </w:rPr>
        <w:t>南宫市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审批局审批水土保持方案的在建生产建设项目单位。  检查事项：生产建设单位落实水土流失防治主体责任情况，水土保持补偿费缴纳情况，水土保持方案实施情况，水土保持设施自主验收情况。 </w:t>
      </w:r>
    </w:p>
    <w:p w14:paraId="5BCCCBDD">
      <w:pPr>
        <w:numPr>
          <w:ilvl w:val="0"/>
          <w:numId w:val="1"/>
        </w:numPr>
        <w:ind w:left="0" w:leftChars="0"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检查时间及方式 </w:t>
      </w:r>
    </w:p>
    <w:p w14:paraId="5F9848D3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>检查时间：202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>年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>月至1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月。 </w:t>
      </w:r>
    </w:p>
    <w:p w14:paraId="6F8D18B7">
      <w:pPr>
        <w:numPr>
          <w:ilvl w:val="0"/>
          <w:numId w:val="0"/>
        </w:numPr>
        <w:ind w:leftChars="0"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>检查方式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>电话询查、现场检查两种方式。</w:t>
      </w:r>
    </w:p>
    <w:p w14:paraId="48F48A82">
      <w:pPr>
        <w:numPr>
          <w:ilvl w:val="0"/>
          <w:numId w:val="0"/>
        </w:numPr>
        <w:ind w:leftChars="0"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检查频次：1次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 </w:t>
      </w:r>
    </w:p>
    <w:p w14:paraId="39596866">
      <w:pPr>
        <w:numPr>
          <w:ilvl w:val="0"/>
          <w:numId w:val="1"/>
        </w:numPr>
        <w:ind w:left="0" w:leftChars="0"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工作要求 </w:t>
      </w:r>
    </w:p>
    <w:p w14:paraId="44720A28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>严格规范执法：检查人员要严格遵守法律法规和执法程序，做到持证上岗、亮证执法。在检查过程中，要坚持依法行政、文明执法，不得滥用职权、刁难企业。</w:t>
      </w:r>
    </w:p>
    <w:p w14:paraId="75D15483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强化服务意识：在开展行政检查的同时，要注重为企业提供服务和指导。积极宣传涉水法律法规和政策，帮助企业提高依法经营意识和管理水平。对检查中发现的问题，及时向企业反馈，提出整改意见和建议，并跟踪督促整改落实情况。 </w:t>
      </w:r>
    </w:p>
    <w:p w14:paraId="765056C3">
      <w:pPr>
        <w:numPr>
          <w:ilvl w:val="0"/>
          <w:numId w:val="1"/>
        </w:numPr>
        <w:ind w:left="0" w:leftChars="0"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其他事项 </w:t>
      </w:r>
    </w:p>
    <w:p w14:paraId="218C57DD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 xml:space="preserve">本计划在实施过程中，可根据法律法规调整、上级政策变化以及实际工作需要进行适当调整和完善。 </w:t>
      </w:r>
    </w:p>
    <w:p w14:paraId="275A3C35"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DFDFE"/>
        </w:rPr>
        <w:t>加强与其他部门的沟通协调，建立健全信息共享工作机制，形成监管工作合力，共同维护良好的水事秩序和水生态环境。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B09F8A"/>
    <w:multiLevelType w:val="singleLevel"/>
    <w:tmpl w:val="C9B09F8A"/>
    <w:lvl w:ilvl="0" w:tentative="0">
      <w:start w:val="1"/>
      <w:numFmt w:val="decimal"/>
      <w:suff w:val="space"/>
      <w:lvlText w:val="%1、"/>
      <w:lvlJc w:val="left"/>
    </w:lvl>
  </w:abstractNum>
  <w:abstractNum w:abstractNumId="1">
    <w:nsid w:val="72AAE3D2"/>
    <w:multiLevelType w:val="singleLevel"/>
    <w:tmpl w:val="72AAE3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D3F32"/>
    <w:rsid w:val="15031BBE"/>
    <w:rsid w:val="1A4D3F32"/>
    <w:rsid w:val="5659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866</Words>
  <Characters>870</Characters>
  <Lines>0</Lines>
  <Paragraphs>0</Paragraphs>
  <TotalTime>11</TotalTime>
  <ScaleCrop>false</ScaleCrop>
  <LinksUpToDate>false</LinksUpToDate>
  <CharactersWithSpaces>892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2025-04-29T07:36:00Z</dcterms:created>
  <dc:creator>煙De菋噵</dc:creator>
  <cp:lastModifiedBy>煙De菋噵</cp:lastModifiedBy>
  <dcterms:modified xsi:type="dcterms:W3CDTF">2026-06-25T10:43:50Z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AE6BCE542EF2436CB2A22BAB24CD9C9A_13</vt:lpwstr>
  </property>
  <property fmtid="{D5CDD505-2E9C-101B-9397-08002B2CF9AE}" pid="4" name="KSOTemplateDocerSaveRecord">
    <vt:lpwstr>eyJoZGlkIjoiMjIxNmEwMDRhZTg2NzM0YzEyZGEzNzRhZTdkYTZkZmEiLCJ1c2VySWQiOiIyMDg1ODQ2MjkifQ==</vt:lpwstr>
  </property>
</Properties>
</file>